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4"/>
        <w:jc w:val="left"/>
        <w:spacing w:line="520" w:lineRule="atLeast"/>
        <w:widowControl/>
        <w:tabs>
          <w:tab w:val="left" w:pos="6930" w:leader="none"/>
          <w:tab w:val="left" w:pos="8190" w:leader="none"/>
        </w:tabs>
        <w:rPr>
          <w:color w:val="auto"/>
          <w:szCs w:val="21"/>
          <w:highlight w:val="none"/>
        </w:rPr>
      </w:pPr>
      <w:r>
        <w:rPr>
          <w:color w:val="auto"/>
          <w:szCs w:val="21"/>
          <w:highlight w:val="none"/>
        </w:rPr>
      </w:r>
      <w:r/>
    </w:p>
    <w:p>
      <w:pPr>
        <w:ind w:firstLine="424"/>
        <w:jc w:val="left"/>
        <w:spacing w:line="520" w:lineRule="atLeast"/>
        <w:widowControl/>
        <w:tabs>
          <w:tab w:val="left" w:pos="6930" w:leader="none"/>
          <w:tab w:val="left" w:pos="8190" w:leader="none"/>
        </w:tabs>
        <w:rPr>
          <w:color w:val="auto"/>
          <w:szCs w:val="21"/>
          <w:highlight w:val="none"/>
        </w:rPr>
      </w:pPr>
      <w:r>
        <w:rPr>
          <w:color w:val="auto"/>
          <w:szCs w:val="21"/>
          <w:highlight w:val="none"/>
        </w:rPr>
      </w:r>
      <w:r/>
    </w:p>
    <w:p>
      <w:pPr>
        <w:ind w:firstLine="424"/>
        <w:jc w:val="left"/>
        <w:spacing w:line="520" w:lineRule="atLeast"/>
        <w:widowControl/>
        <w:tabs>
          <w:tab w:val="left" w:pos="422" w:leader="none"/>
        </w:tabs>
        <w:rPr>
          <w:color w:val="auto"/>
          <w:szCs w:val="21"/>
          <w:highlight w:val="none"/>
        </w:rPr>
      </w:pPr>
      <w:r>
        <w:rPr>
          <w:color w:val="auto"/>
          <w:szCs w:val="21"/>
          <w:highlight w:val="none"/>
        </w:rPr>
      </w:r>
      <w:r/>
    </w:p>
    <w:p>
      <w:pPr>
        <w:ind w:firstLine="424"/>
        <w:jc w:val="left"/>
        <w:spacing w:line="520" w:lineRule="atLeast"/>
        <w:widowControl/>
        <w:rPr>
          <w:color w:val="auto"/>
          <w:szCs w:val="21"/>
          <w:highlight w:val="none"/>
        </w:rPr>
      </w:pPr>
      <w:r>
        <w:rPr>
          <w:color w:val="auto"/>
          <w:szCs w:val="21"/>
          <w:highlight w:val="none"/>
        </w:rPr>
      </w:r>
      <w:r/>
    </w:p>
    <w:sdt>
      <w:sdtPr>
        <w15:appearance w15:val="boundingBox"/>
        <w:id w:val="147480276"/>
        <w:placeholder>
          <w:docPart w:val="{1880aee2-c651-411b-a50c-34194e303ad3}"/>
        </w:placeholder>
        <w:rPr>
          <w:rFonts w:ascii="宋体" w:hAnsi="Courier New" w:cs="Courier New"/>
          <w:b/>
          <w:color w:val="auto"/>
          <w:sz w:val="56"/>
          <w:szCs w:val="56"/>
          <w:highlight w:val="none"/>
        </w:rPr>
      </w:sdtPr>
      <w:sdtContent>
        <w:p>
          <w:pPr>
            <w:jc w:val="center"/>
            <w:spacing w:before="156" w:after="156" w:line="360" w:lineRule="auto"/>
            <w:tabs>
              <w:tab w:val="left" w:pos="168" w:leader="none"/>
              <w:tab w:val="center" w:pos="4422" w:leader="none"/>
            </w:tabs>
            <w:rPr>
              <w:b/>
              <w:color w:val="auto"/>
              <w:sz w:val="56"/>
              <w:szCs w:val="56"/>
              <w:highlight w:val="none"/>
            </w:rPr>
          </w:pPr>
          <w:r>
            <w:rPr>
              <w:rFonts w:hint="eastAsia"/>
              <w:b/>
              <w:color w:val="auto"/>
              <w:sz w:val="44"/>
              <w:szCs w:val="44"/>
              <w:highlight w:val="none"/>
            </w:rPr>
            <w:t xml:space="preserve">苏州城市学院</w:t>
          </w:r>
          <w:r/>
        </w:p>
        <w:p>
          <w:pPr>
            <w:pStyle w:val="889"/>
            <w:jc w:val="center"/>
            <w:rPr>
              <w:rFonts w:ascii="Times New Roman" w:hAnsi="Times New Roman" w:cs="Times New Roman"/>
              <w:b/>
              <w:color w:val="auto"/>
              <w:sz w:val="56"/>
              <w:szCs w:val="56"/>
              <w:highlight w:val="none"/>
            </w:rPr>
          </w:pPr>
          <w:r>
            <w:rPr>
              <w:rFonts w:hint="eastAsia" w:ascii="Times New Roman" w:hAnsi="Times New Roman" w:cs="Times New Roman"/>
              <w:b/>
              <w:color w:val="auto"/>
              <w:sz w:val="44"/>
              <w:szCs w:val="44"/>
              <w:highlight w:val="none"/>
            </w:rPr>
            <w:t xml:space="preserve">数字经济与管理学院专业实验平台</w:t>
          </w:r>
          <w:r>
            <w:rPr>
              <w:rFonts w:ascii="Times New Roman" w:hAnsi="Times New Roman" w:cs="Times New Roman"/>
              <w:b/>
              <w:color w:val="auto"/>
              <w:sz w:val="44"/>
              <w:szCs w:val="44"/>
              <w:highlight w:val="none"/>
            </w:rPr>
            <w:t xml:space="preserve">项目</w:t>
          </w:r>
          <w:r/>
        </w:p>
      </w:sdtContent>
    </w:sdt>
    <w:p>
      <w:pPr>
        <w:pStyle w:val="889"/>
        <w:rPr>
          <w:rFonts w:ascii="Times New Roman" w:hAnsi="Times New Roman" w:cs="Times New Roman"/>
          <w:b/>
          <w:color w:val="auto"/>
          <w:sz w:val="56"/>
          <w:szCs w:val="56"/>
          <w:highlight w:val="none"/>
        </w:rPr>
      </w:pPr>
      <w:r>
        <w:rPr>
          <w:rFonts w:ascii="Times New Roman" w:hAnsi="Times New Roman" w:cs="Times New Roman"/>
          <w:b/>
          <w:color w:val="auto"/>
          <w:sz w:val="56"/>
          <w:szCs w:val="56"/>
          <w:highlight w:val="none"/>
        </w:rPr>
      </w:r>
      <w:r/>
    </w:p>
    <w:p>
      <w:pPr>
        <w:pStyle w:val="889"/>
        <w:ind w:firstLine="1703"/>
        <w:rPr>
          <w:rFonts w:ascii="Times New Roman" w:hAnsi="Times New Roman" w:cs="Times New Roman"/>
          <w:b/>
          <w:color w:val="auto"/>
          <w:sz w:val="84"/>
          <w:szCs w:val="84"/>
          <w:highlight w:val="none"/>
        </w:rPr>
      </w:pPr>
      <w:r>
        <w:rPr>
          <w:rFonts w:ascii="Times New Roman" w:hAnsi="Times New Roman" w:cs="Times New Roman"/>
          <w:b/>
          <w:color w:val="auto"/>
          <w:sz w:val="84"/>
          <w:szCs w:val="84"/>
          <w:highlight w:val="none"/>
        </w:rPr>
      </w:r>
      <w:r/>
    </w:p>
    <w:p>
      <w:pPr>
        <w:pStyle w:val="889"/>
        <w:ind w:firstLine="1703"/>
        <w:rPr>
          <w:rFonts w:ascii="Times New Roman" w:hAnsi="Times New Roman" w:cs="Times New Roman"/>
          <w:b/>
          <w:color w:val="auto"/>
          <w:sz w:val="84"/>
          <w:szCs w:val="84"/>
          <w:highlight w:val="none"/>
        </w:rPr>
      </w:pPr>
      <w:r>
        <w:rPr>
          <w:rFonts w:ascii="Times New Roman" w:hAnsi="Times New Roman" w:cs="Times New Roman"/>
          <w:b/>
          <w:color w:val="auto"/>
          <w:sz w:val="84"/>
          <w:szCs w:val="84"/>
          <w:highlight w:val="none"/>
        </w:rPr>
        <w:t xml:space="preserve">招 标 文 件</w:t>
      </w:r>
      <w:r/>
    </w:p>
    <w:p>
      <w:pPr>
        <w:ind w:firstLine="1947"/>
        <w:jc w:val="center"/>
        <w:spacing w:line="440" w:lineRule="exact"/>
        <w:rPr>
          <w:b/>
          <w:color w:val="auto"/>
          <w:sz w:val="96"/>
          <w:highlight w:val="none"/>
        </w:rPr>
      </w:pPr>
      <w:r>
        <w:rPr>
          <w:b/>
          <w:color w:val="auto"/>
          <w:sz w:val="96"/>
          <w:highlight w:val="none"/>
        </w:rPr>
      </w:r>
      <w:r/>
    </w:p>
    <w:p>
      <w:pPr>
        <w:ind w:right="640" w:firstLine="649"/>
        <w:jc w:val="center"/>
        <w:spacing w:line="360" w:lineRule="auto"/>
        <w:rPr>
          <w:b/>
          <w:color w:val="auto"/>
          <w:sz w:val="32"/>
          <w:szCs w:val="32"/>
          <w:highlight w:val="none"/>
        </w:rPr>
      </w:pPr>
      <w:r>
        <w:rPr>
          <w:b/>
          <w:color w:val="auto"/>
          <w:sz w:val="32"/>
          <w:szCs w:val="32"/>
          <w:highlight w:val="none"/>
        </w:rPr>
        <w:t xml:space="preserve">项目编号：</w:t>
      </w:r>
      <w:sdt>
        <w:sdtPr>
          <w15:appearance w15:val="boundingBox"/>
          <w:id w:val="1347760698"/>
          <w:placeholder>
            <w:docPart w:val="DefaultPlaceholder_-1854013440"/>
          </w:placeholder>
          <w:rPr>
            <w:b/>
            <w:color w:val="auto"/>
            <w:sz w:val="32"/>
            <w:szCs w:val="32"/>
            <w:highlight w:val="none"/>
          </w:rPr>
        </w:sdtPr>
        <w:sdtContent>
          <w:r>
            <w:rPr>
              <w:rFonts w:hint="eastAsia"/>
              <w:b/>
              <w:color w:val="auto"/>
              <w:sz w:val="32"/>
              <w:szCs w:val="32"/>
              <w:highlight w:val="none"/>
              <w:lang w:eastAsia="zh-CN"/>
            </w:rPr>
            <w:t xml:space="preserve">JSZC-320500-JITC-G2025-0380</w:t>
          </w:r>
        </w:sdtContent>
      </w:sdt>
      <w:r/>
      <w:r/>
    </w:p>
    <w:p>
      <w:pPr>
        <w:ind w:right="640"/>
        <w:spacing w:line="360" w:lineRule="auto"/>
        <w:rPr>
          <w:color w:val="auto"/>
          <w:sz w:val="32"/>
          <w:highlight w:val="none"/>
        </w:rPr>
      </w:pPr>
      <w:r>
        <w:rPr>
          <w:color w:val="auto"/>
          <w:sz w:val="32"/>
          <w:highlight w:val="none"/>
        </w:rPr>
      </w:r>
      <w:r/>
    </w:p>
    <w:p>
      <w:pPr>
        <w:ind w:right="640"/>
        <w:spacing w:line="360" w:lineRule="auto"/>
        <w:rPr>
          <w:color w:val="auto"/>
          <w:sz w:val="32"/>
          <w:highlight w:val="none"/>
        </w:rPr>
      </w:pPr>
      <w:r>
        <w:rPr>
          <w:color w:val="auto"/>
          <w:sz w:val="32"/>
          <w:highlight w:val="none"/>
        </w:rPr>
      </w:r>
      <w:r/>
    </w:p>
    <w:p>
      <w:pPr>
        <w:ind w:right="640" w:firstLine="646"/>
        <w:spacing w:line="360" w:lineRule="auto"/>
        <w:rPr>
          <w:color w:val="auto"/>
          <w:sz w:val="32"/>
          <w:highlight w:val="none"/>
        </w:rPr>
      </w:pPr>
      <w:r>
        <w:rPr>
          <w:color w:val="auto"/>
          <w:sz w:val="32"/>
          <w:highlight w:val="none"/>
        </w:rPr>
      </w:r>
      <w:r/>
    </w:p>
    <w:p>
      <w:pPr>
        <w:ind w:firstLine="649"/>
        <w:jc w:val="center"/>
        <w:spacing w:line="360" w:lineRule="auto"/>
        <w:tabs>
          <w:tab w:val="left" w:pos="360" w:leader="none"/>
        </w:tabs>
        <w:rPr>
          <w:b/>
          <w:color w:val="auto"/>
          <w:sz w:val="32"/>
          <w:highlight w:val="none"/>
        </w:rPr>
      </w:pPr>
      <w:r>
        <w:rPr>
          <w:b/>
          <w:color w:val="auto"/>
          <w:sz w:val="32"/>
          <w:highlight w:val="none"/>
        </w:rPr>
      </w:r>
      <w:r/>
    </w:p>
    <w:p>
      <w:pPr>
        <w:ind w:firstLine="649"/>
        <w:jc w:val="center"/>
        <w:spacing w:line="360" w:lineRule="auto"/>
        <w:tabs>
          <w:tab w:val="left" w:pos="360" w:leader="none"/>
        </w:tabs>
        <w:rPr>
          <w:b/>
          <w:color w:val="auto"/>
          <w:sz w:val="32"/>
          <w:highlight w:val="none"/>
        </w:rPr>
      </w:pPr>
      <w:r>
        <w:rPr>
          <w:b/>
          <w:color w:val="auto"/>
          <w:sz w:val="32"/>
          <w:highlight w:val="none"/>
        </w:rPr>
        <w:t xml:space="preserve">采购人：</w:t>
      </w:r>
      <w:sdt>
        <w:sdtPr>
          <w15:appearance w15:val="boundingBox"/>
          <w:id w:val="-1635324538"/>
          <w:placeholder>
            <w:docPart w:val="DefaultPlaceholder_-1854013440"/>
          </w:placeholder>
          <w:rPr>
            <w:b/>
            <w:color w:val="auto"/>
            <w:sz w:val="32"/>
            <w:highlight w:val="none"/>
          </w:rPr>
        </w:sdtPr>
        <w:sdtContent>
          <w:r>
            <w:rPr>
              <w:rFonts w:hint="eastAsia"/>
              <w:b/>
              <w:color w:val="auto"/>
              <w:sz w:val="32"/>
              <w:highlight w:val="none"/>
            </w:rPr>
            <w:t xml:space="preserve">苏州城市学院</w:t>
          </w:r>
        </w:sdtContent>
      </w:sdt>
      <w:r/>
      <w:r/>
    </w:p>
    <w:p>
      <w:pPr>
        <w:ind w:firstLine="649"/>
        <w:jc w:val="center"/>
        <w:spacing w:line="360" w:lineRule="auto"/>
        <w:tabs>
          <w:tab w:val="left" w:pos="360" w:leader="none"/>
        </w:tabs>
        <w:rPr>
          <w:b/>
          <w:color w:val="auto"/>
          <w:sz w:val="32"/>
          <w:highlight w:val="none"/>
        </w:rPr>
      </w:pPr>
      <w:r>
        <w:rPr>
          <w:b/>
          <w:color w:val="auto"/>
          <w:sz w:val="32"/>
          <w:highlight w:val="none"/>
        </w:rPr>
        <w:t xml:space="preserve">采购代理机构：江苏省招标中心有限公司</w:t>
      </w:r>
      <w:r/>
    </w:p>
    <w:sdt>
      <w:sdtPr>
        <w15:appearance w15:val="boundingBox"/>
        <w:id w:val="-1714872416"/>
        <w:placeholder>
          <w:docPart w:val="DefaultPlaceholder_-1854013440"/>
        </w:placeholder>
        <w:rPr>
          <w:b/>
          <w:color w:val="auto"/>
          <w:sz w:val="32"/>
          <w:highlight w:val="none"/>
        </w:rPr>
      </w:sdtPr>
      <w:sdtContent>
        <w:p>
          <w:pPr>
            <w:ind w:firstLine="649"/>
            <w:jc w:val="center"/>
            <w:rPr>
              <w:b/>
              <w:color w:val="auto"/>
              <w:sz w:val="32"/>
              <w:highlight w:val="none"/>
            </w:rPr>
          </w:pPr>
          <w:r>
            <w:rPr>
              <w:b/>
              <w:color w:val="auto"/>
              <w:sz w:val="32"/>
              <w:highlight w:val="none"/>
            </w:rPr>
            <w:t xml:space="preserve">二O二</w:t>
          </w:r>
          <w:r>
            <w:rPr>
              <w:rFonts w:hint="eastAsia"/>
              <w:b/>
              <w:color w:val="auto"/>
              <w:sz w:val="32"/>
              <w:highlight w:val="none"/>
            </w:rPr>
            <w:t xml:space="preserve">五</w:t>
          </w:r>
          <w:r>
            <w:rPr>
              <w:b/>
              <w:color w:val="auto"/>
              <w:sz w:val="32"/>
              <w:highlight w:val="none"/>
            </w:rPr>
            <w:t xml:space="preserve">年</w:t>
          </w:r>
          <w:r>
            <w:rPr>
              <w:rFonts w:hint="eastAsia"/>
              <w:b/>
              <w:color w:val="auto"/>
              <w:sz w:val="32"/>
              <w:highlight w:val="none"/>
            </w:rPr>
            <w:t xml:space="preserve">十</w:t>
          </w:r>
          <w:r>
            <w:rPr>
              <w:rFonts w:hint="eastAsia"/>
              <w:b/>
              <w:color w:val="auto"/>
              <w:sz w:val="32"/>
              <w:highlight w:val="none"/>
            </w:rPr>
            <w:t xml:space="preserve">二</w:t>
          </w:r>
          <w:r>
            <w:rPr>
              <w:b/>
              <w:color w:val="auto"/>
              <w:sz w:val="32"/>
              <w:highlight w:val="none"/>
            </w:rPr>
            <w:t xml:space="preserve">月</w:t>
          </w:r>
          <w:r>
            <w:rPr>
              <w:b/>
              <w:color w:val="auto"/>
              <w:sz w:val="32"/>
              <w:highlight w:val="none"/>
            </w:rPr>
          </w:r>
          <w:r/>
        </w:p>
      </w:sdtContent>
    </w:sdt>
    <w:p>
      <w:pPr>
        <w:ind w:firstLine="649"/>
        <w:spacing w:line="500" w:lineRule="exact"/>
        <w:rPr>
          <w:b/>
          <w:color w:val="auto"/>
          <w:sz w:val="32"/>
          <w:szCs w:val="32"/>
          <w:highlight w:val="none"/>
        </w:rPr>
        <w:sectPr>
          <w:headerReference w:type="default" r:id="rId10"/>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80264696"/>
      <w:r/>
      <w:bookmarkStart w:id="1" w:name="_Toc531620161"/>
      <w:r/>
      <w:r/>
    </w:p>
    <w:p>
      <w:pPr>
        <w:ind w:firstLine="649"/>
        <w:jc w:val="center"/>
        <w:spacing w:line="500" w:lineRule="exact"/>
        <w:rPr>
          <w:b/>
          <w:color w:val="auto"/>
          <w:sz w:val="32"/>
          <w:szCs w:val="32"/>
          <w:highlight w:val="none"/>
        </w:rPr>
      </w:pPr>
      <w:r>
        <w:rPr>
          <w:b/>
          <w:color w:val="auto"/>
          <w:sz w:val="32"/>
          <w:szCs w:val="32"/>
          <w:highlight w:val="none"/>
        </w:rPr>
        <w:t xml:space="preserve">目   录</w:t>
      </w:r>
      <w:r/>
    </w:p>
    <w:sdt>
      <w:sdtPr>
        <w15:appearance w15:val="boundingBox"/>
        <w:id w:val="1239279680"/>
        <w:rPr>
          <w:rFonts w:ascii="Times New Roman" w:hAnsi="Times New Roman" w:eastAsia="宋体" w:cs="Times New Roman"/>
          <w:color w:val="auto"/>
          <w:sz w:val="21"/>
          <w:szCs w:val="24"/>
          <w:highlight w:val="none"/>
          <w:lang w:val="zh-CN"/>
        </w:rPr>
      </w:sdtPr>
      <w:sdtContent>
        <w:p>
          <w:pPr>
            <w:pStyle w:val="1122"/>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896"/>
            <w:tabs>
              <w:tab w:val="right" w:pos="8834" w:leader="dot"/>
            </w:tabs>
            <w:rPr>
              <w:rFonts w:ascii="Times New Roman" w:hAnsi="Times New Roman" w:eastAsia="宋体"/>
              <w:color w:val="auto"/>
              <w:sz w:val="32"/>
              <w:szCs w:val="32"/>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TOC \o "1-3" \h \z \u </w:instrText>
          </w:r>
          <w:r>
            <w:rPr>
              <w:rFonts w:ascii="Times New Roman" w:hAnsi="Times New Roman" w:eastAsia="宋体"/>
              <w:color w:val="auto"/>
              <w:highlight w:val="none"/>
            </w:rPr>
            <w:fldChar w:fldCharType="separate"/>
          </w:r>
          <w:r>
            <w:rPr>
              <w:color w:val="auto"/>
              <w:highlight w:val="none"/>
            </w:rPr>
            <w:fldChar w:fldCharType="begin"/>
          </w:r>
          <w:r>
            <w:rPr>
              <w:color w:val="auto"/>
              <w:highlight w:val="none"/>
            </w:rPr>
            <w:instrText xml:space="preserve"> HYPERLINK \l "_Toc157070965" </w:instrText>
          </w:r>
          <w:r>
            <w:rPr>
              <w:color w:val="auto"/>
              <w:highlight w:val="none"/>
            </w:rPr>
            <w:fldChar w:fldCharType="separate"/>
          </w:r>
          <w:r>
            <w:rPr>
              <w:rStyle w:val="913"/>
              <w:rFonts w:ascii="Times New Roman" w:hAnsi="Times New Roman" w:eastAsia="宋体"/>
              <w:color w:val="auto"/>
              <w:sz w:val="32"/>
              <w:szCs w:val="32"/>
              <w:highlight w:val="none"/>
            </w:rPr>
            <w:t xml:space="preserve">第一章 招标公告</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_Toc157070965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2</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896"/>
            <w:tabs>
              <w:tab w:val="right" w:pos="8834" w:leader="dot"/>
            </w:tabs>
            <w:rPr>
              <w:rFonts w:ascii="Times New Roman" w:hAnsi="Times New Roman" w:eastAsia="宋体"/>
              <w:color w:val="auto"/>
              <w:sz w:val="32"/>
              <w:szCs w:val="32"/>
              <w:highlight w:val="none"/>
            </w:rPr>
          </w:pPr>
          <w:r>
            <w:rPr>
              <w:color w:val="auto"/>
              <w:highlight w:val="none"/>
            </w:rPr>
            <w:fldChar w:fldCharType="begin"/>
          </w:r>
          <w:r>
            <w:rPr>
              <w:color w:val="auto"/>
              <w:highlight w:val="none"/>
            </w:rPr>
            <w:instrText xml:space="preserve"> HYPERLINK \l "_Toc157070966" </w:instrText>
          </w:r>
          <w:r>
            <w:rPr>
              <w:color w:val="auto"/>
              <w:highlight w:val="none"/>
            </w:rPr>
            <w:fldChar w:fldCharType="separate"/>
          </w:r>
          <w:r>
            <w:rPr>
              <w:rStyle w:val="913"/>
              <w:rFonts w:ascii="Times New Roman" w:hAnsi="Times New Roman" w:eastAsia="宋体"/>
              <w:color w:val="auto"/>
              <w:sz w:val="32"/>
              <w:szCs w:val="32"/>
              <w:highlight w:val="none"/>
            </w:rPr>
            <w:t xml:space="preserve">第二章 投标人须知</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_Toc157070966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6</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896"/>
            <w:tabs>
              <w:tab w:val="right" w:pos="8834" w:leader="dot"/>
            </w:tabs>
            <w:rPr>
              <w:rFonts w:ascii="Times New Roman" w:hAnsi="Times New Roman" w:eastAsia="宋体"/>
              <w:color w:val="auto"/>
              <w:sz w:val="32"/>
              <w:szCs w:val="32"/>
              <w:highlight w:val="none"/>
            </w:rPr>
          </w:pPr>
          <w:r>
            <w:rPr>
              <w:color w:val="auto"/>
              <w:highlight w:val="none"/>
            </w:rPr>
            <w:fldChar w:fldCharType="begin"/>
          </w:r>
          <w:r>
            <w:rPr>
              <w:color w:val="auto"/>
              <w:highlight w:val="none"/>
            </w:rPr>
            <w:instrText xml:space="preserve"> HYPERLINK \l "_Toc157071024" </w:instrText>
          </w:r>
          <w:r>
            <w:rPr>
              <w:color w:val="auto"/>
              <w:highlight w:val="none"/>
            </w:rPr>
            <w:fldChar w:fldCharType="separate"/>
          </w:r>
          <w:r>
            <w:rPr>
              <w:rStyle w:val="913"/>
              <w:rFonts w:ascii="Times New Roman" w:hAnsi="Times New Roman" w:eastAsia="宋体"/>
              <w:color w:val="auto"/>
              <w:sz w:val="32"/>
              <w:szCs w:val="32"/>
              <w:highlight w:val="none"/>
            </w:rPr>
            <w:t xml:space="preserve">第三章 政府采购合同条款及格式</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_Toc157071024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24</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896"/>
            <w:tabs>
              <w:tab w:val="right" w:pos="8834" w:leader="dot"/>
            </w:tabs>
            <w:rPr>
              <w:rFonts w:ascii="Times New Roman" w:hAnsi="Times New Roman" w:eastAsia="宋体"/>
              <w:color w:val="auto"/>
              <w:sz w:val="32"/>
              <w:szCs w:val="32"/>
              <w:highlight w:val="none"/>
            </w:rPr>
          </w:pPr>
          <w:r>
            <w:rPr>
              <w:color w:val="auto"/>
              <w:highlight w:val="none"/>
            </w:rPr>
            <w:fldChar w:fldCharType="begin"/>
          </w:r>
          <w:r>
            <w:rPr>
              <w:color w:val="auto"/>
              <w:highlight w:val="none"/>
            </w:rPr>
            <w:instrText xml:space="preserve"> HYPERLINK \l "_Toc157071026" </w:instrText>
          </w:r>
          <w:r>
            <w:rPr>
              <w:color w:val="auto"/>
              <w:highlight w:val="none"/>
            </w:rPr>
            <w:fldChar w:fldCharType="separate"/>
          </w:r>
          <w:r>
            <w:rPr>
              <w:rStyle w:val="913"/>
              <w:rFonts w:ascii="Times New Roman" w:hAnsi="Times New Roman" w:eastAsia="宋体"/>
              <w:color w:val="auto"/>
              <w:sz w:val="32"/>
              <w:szCs w:val="32"/>
              <w:highlight w:val="none"/>
            </w:rPr>
            <w:t xml:space="preserve">第四章 采购需求</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_Toc157071026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27</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896"/>
            <w:tabs>
              <w:tab w:val="right" w:pos="8834" w:leader="dot"/>
            </w:tabs>
            <w:rPr>
              <w:rFonts w:ascii="Times New Roman" w:hAnsi="Times New Roman" w:eastAsia="宋体"/>
              <w:color w:val="auto"/>
              <w:sz w:val="32"/>
              <w:szCs w:val="32"/>
              <w:highlight w:val="none"/>
            </w:rPr>
          </w:pPr>
          <w:r>
            <w:rPr>
              <w:color w:val="auto"/>
              <w:highlight w:val="none"/>
            </w:rPr>
            <w:fldChar w:fldCharType="begin"/>
          </w:r>
          <w:r>
            <w:rPr>
              <w:color w:val="auto"/>
              <w:highlight w:val="none"/>
            </w:rPr>
            <w:instrText xml:space="preserve"> HYPERLINK \l "_Toc157071033" </w:instrText>
          </w:r>
          <w:r>
            <w:rPr>
              <w:color w:val="auto"/>
              <w:highlight w:val="none"/>
            </w:rPr>
            <w:fldChar w:fldCharType="separate"/>
          </w:r>
          <w:r>
            <w:rPr>
              <w:rStyle w:val="913"/>
              <w:rFonts w:ascii="Times New Roman" w:hAnsi="Times New Roman" w:eastAsia="宋体"/>
              <w:color w:val="auto"/>
              <w:sz w:val="32"/>
              <w:szCs w:val="32"/>
              <w:highlight w:val="none"/>
            </w:rPr>
            <w:t xml:space="preserve">第五章 评标方法与评标标准</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_Toc157071033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57</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pStyle w:val="896"/>
            <w:tabs>
              <w:tab w:val="right" w:pos="8834" w:leader="dot"/>
            </w:tabs>
            <w:rPr>
              <w:rFonts w:ascii="Times New Roman" w:hAnsi="Times New Roman" w:eastAsia="宋体"/>
              <w:color w:val="auto"/>
              <w:sz w:val="32"/>
              <w:szCs w:val="32"/>
              <w:highlight w:val="none"/>
            </w:rPr>
          </w:pPr>
          <w:r>
            <w:rPr>
              <w:color w:val="auto"/>
              <w:highlight w:val="none"/>
            </w:rPr>
            <w:fldChar w:fldCharType="begin"/>
          </w:r>
          <w:r>
            <w:rPr>
              <w:color w:val="auto"/>
              <w:highlight w:val="none"/>
            </w:rPr>
            <w:instrText xml:space="preserve"> HYPERLINK \l "_Toc157071034" </w:instrText>
          </w:r>
          <w:r>
            <w:rPr>
              <w:color w:val="auto"/>
              <w:highlight w:val="none"/>
            </w:rPr>
            <w:fldChar w:fldCharType="separate"/>
          </w:r>
          <w:r>
            <w:rPr>
              <w:rStyle w:val="913"/>
              <w:rFonts w:ascii="Times New Roman" w:hAnsi="Times New Roman" w:eastAsia="宋体"/>
              <w:color w:val="auto"/>
              <w:sz w:val="32"/>
              <w:szCs w:val="32"/>
              <w:highlight w:val="none"/>
            </w:rPr>
            <w:t xml:space="preserve">第六章 投标文件格式</w:t>
          </w:r>
          <w:r>
            <w:rPr>
              <w:rFonts w:ascii="Times New Roman" w:hAnsi="Times New Roman" w:eastAsia="宋体"/>
              <w:color w:val="auto"/>
              <w:sz w:val="32"/>
              <w:szCs w:val="32"/>
              <w:highlight w:val="none"/>
            </w:rPr>
            <w:tab/>
          </w:r>
          <w:r>
            <w:rPr>
              <w:rFonts w:ascii="Times New Roman" w:hAnsi="Times New Roman" w:eastAsia="宋体"/>
              <w:color w:val="auto"/>
              <w:sz w:val="32"/>
              <w:szCs w:val="32"/>
              <w:highlight w:val="none"/>
            </w:rPr>
            <w:fldChar w:fldCharType="begin"/>
          </w:r>
          <w:r>
            <w:rPr>
              <w:rFonts w:ascii="Times New Roman" w:hAnsi="Times New Roman" w:eastAsia="宋体"/>
              <w:color w:val="auto"/>
              <w:sz w:val="32"/>
              <w:szCs w:val="32"/>
              <w:highlight w:val="none"/>
            </w:rPr>
            <w:instrText xml:space="preserve"> PAGEREF _Toc157071034 \h </w:instrText>
          </w:r>
          <w:r>
            <w:rPr>
              <w:rFonts w:ascii="Times New Roman" w:hAnsi="Times New Roman" w:eastAsia="宋体"/>
              <w:color w:val="auto"/>
              <w:sz w:val="32"/>
              <w:szCs w:val="32"/>
              <w:highlight w:val="none"/>
            </w:rPr>
            <w:fldChar w:fldCharType="separate"/>
          </w:r>
          <w:r>
            <w:rPr>
              <w:rFonts w:ascii="Times New Roman" w:hAnsi="Times New Roman" w:eastAsia="宋体"/>
              <w:color w:val="auto"/>
              <w:sz w:val="32"/>
              <w:szCs w:val="32"/>
              <w:highlight w:val="none"/>
            </w:rPr>
            <w:t xml:space="preserve">59</w:t>
          </w:r>
          <w:r>
            <w:rPr>
              <w:rFonts w:ascii="Times New Roman" w:hAnsi="Times New Roman" w:eastAsia="宋体"/>
              <w:color w:val="auto"/>
              <w:sz w:val="32"/>
              <w:szCs w:val="32"/>
              <w:highlight w:val="none"/>
            </w:rPr>
            <w:fldChar w:fldCharType="end"/>
          </w:r>
          <w:r>
            <w:rPr>
              <w:rFonts w:ascii="Times New Roman" w:hAnsi="Times New Roman" w:eastAsia="宋体"/>
              <w:color w:val="auto"/>
              <w:sz w:val="32"/>
              <w:szCs w:val="32"/>
              <w:highlight w:val="none"/>
            </w:rPr>
            <w:fldChar w:fldCharType="end"/>
          </w:r>
          <w:r/>
        </w:p>
        <w:p>
          <w:pPr>
            <w:rPr>
              <w:color w:val="auto"/>
              <w:highlight w:val="none"/>
            </w:rPr>
          </w:pPr>
          <w:r>
            <w:rPr>
              <w:b/>
              <w:bCs/>
              <w:color w:val="auto"/>
              <w:highlight w:val="none"/>
              <w:lang w:val="zh-CN"/>
            </w:rPr>
            <w:fldChar w:fldCharType="end"/>
          </w:r>
          <w:r/>
        </w:p>
      </w:sdtContent>
    </w:sdt>
    <w:p>
      <w:pPr>
        <w:pStyle w:val="1082"/>
        <w:ind w:firstLine="485"/>
        <w:spacing w:line="360" w:lineRule="auto"/>
        <w:tabs>
          <w:tab w:val="right" w:pos="8834" w:leader="dot"/>
        </w:tabs>
        <w:rPr>
          <w:rFonts w:ascii="Times New Roman" w:eastAsia="宋体"/>
          <w:b/>
          <w:color w:val="auto"/>
          <w:sz w:val="21"/>
          <w:szCs w:val="22"/>
          <w:highlight w:val="none"/>
        </w:rPr>
      </w:pPr>
      <w:r>
        <w:rPr>
          <w:rFonts w:ascii="Times New Roman" w:eastAsia="宋体"/>
          <w:b/>
          <w:color w:val="auto"/>
          <w:sz w:val="21"/>
          <w:szCs w:val="22"/>
          <w:highlight w:val="none"/>
        </w:rPr>
      </w:r>
      <w:r/>
    </w:p>
    <w:p>
      <w:pPr>
        <w:ind w:firstLine="649"/>
        <w:spacing w:line="360" w:lineRule="auto"/>
        <w:rPr>
          <w:color w:val="auto"/>
          <w:highlight w:val="none"/>
        </w:rPr>
      </w:pPr>
      <w:r>
        <w:rPr>
          <w:b/>
          <w:bCs/>
          <w:color w:val="auto"/>
          <w:sz w:val="32"/>
          <w:highlight w:val="none"/>
          <w:lang w:val="zh-CN"/>
        </w:rPr>
        <w:br w:type="page" w:clear="all"/>
      </w:r>
      <w:bookmarkEnd w:id="0"/>
      <w:r/>
      <w:bookmarkEnd w:id="1"/>
      <w:r/>
      <w:r/>
    </w:p>
    <w:p>
      <w:pPr>
        <w:pStyle w:val="906"/>
        <w:ind w:firstLine="3213"/>
        <w:jc w:val="both"/>
        <w:spacing w:before="156" w:after="156"/>
        <w:rPr>
          <w:rFonts w:ascii="Times New Roman" w:hAnsi="Times New Roman"/>
          <w:color w:val="auto"/>
          <w:highlight w:val="none"/>
        </w:rPr>
      </w:pPr>
      <w:r/>
      <w:bookmarkStart w:id="2" w:name="_Toc107246211"/>
      <w:r/>
      <w:bookmarkStart w:id="3" w:name="_Toc157070965"/>
      <w:r/>
      <w:bookmarkStart w:id="4" w:name="_Toc80264697"/>
      <w:r/>
      <w:bookmarkStart w:id="5" w:name="_Toc80792688"/>
      <w:r/>
      <w:bookmarkStart w:id="6" w:name="_Toc71561877"/>
      <w:r/>
      <w:bookmarkStart w:id="7" w:name="_Toc80264704"/>
      <w:r>
        <w:rPr>
          <w:rFonts w:ascii="Times New Roman" w:hAnsi="Times New Roman"/>
          <w:color w:val="auto"/>
          <w:highlight w:val="none"/>
        </w:rPr>
        <w:t xml:space="preserve">第一章 招标公告</w:t>
      </w:r>
      <w:bookmarkEnd w:id="2"/>
      <w:r/>
      <w:bookmarkEnd w:id="3"/>
      <w:r/>
      <w:r/>
    </w:p>
    <w:p>
      <w:pPr>
        <w:ind w:firstLine="420"/>
        <w:spacing w:line="360" w:lineRule="auto"/>
        <w:rPr>
          <w:bCs/>
          <w:color w:val="auto"/>
          <w:szCs w:val="21"/>
          <w:highlight w:val="none"/>
        </w:rPr>
        <w:pBdr>
          <w:top w:val="single" w:color="auto" w:sz="4" w:space="1"/>
          <w:left w:val="single" w:color="auto" w:sz="4" w:space="4"/>
          <w:bottom w:val="single" w:color="auto" w:sz="4" w:space="1"/>
          <w:right w:val="single" w:color="auto" w:sz="4" w:space="4"/>
        </w:pBdr>
      </w:pPr>
      <w:r>
        <w:rPr>
          <w:bCs/>
          <w:color w:val="auto"/>
          <w:szCs w:val="21"/>
          <w:highlight w:val="none"/>
        </w:rPr>
        <w:t xml:space="preserve">项目概况</w:t>
      </w:r>
      <w:r/>
    </w:p>
    <w:p>
      <w:pPr>
        <w:ind w:firstLine="420"/>
        <w:spacing w:line="360" w:lineRule="auto"/>
        <w:rPr>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bCs/>
            <w:color w:val="auto"/>
            <w:szCs w:val="21"/>
            <w:highlight w:val="none"/>
          </w:rPr>
        </w:sdtPr>
        <w:sdtContent>
          <w:r>
            <w:rPr>
              <w:rFonts w:hint="eastAsia"/>
              <w:bCs/>
              <w:color w:val="auto"/>
              <w:szCs w:val="21"/>
              <w:highlight w:val="none"/>
              <w:u w:val="single"/>
            </w:rPr>
            <w:t xml:space="preserve">苏州城市学院数字经济与管理学院专业实验平台</w:t>
          </w:r>
        </w:sdtContent>
      </w:sdt>
      <w:r>
        <w:rPr>
          <w:bCs/>
          <w:color w:val="auto"/>
          <w:szCs w:val="21"/>
          <w:highlight w:val="none"/>
        </w:rPr>
        <w:t xml:space="preserve">的潜在投标人应在</w:t>
      </w:r>
      <w:sdt>
        <w:sdtPr>
          <w15:appearance w15:val="boundingBox"/>
          <w:id w:val="-2066170622"/>
          <w:placeholder>
            <w:docPart w:val="{0750ff33-8f46-4498-b164-60879e47bae3}"/>
          </w:placeholder>
          <w:rPr>
            <w:bCs/>
            <w:color w:val="auto"/>
            <w:szCs w:val="21"/>
            <w:highlight w:val="none"/>
          </w:rPr>
        </w:sdtPr>
        <w:sdtContent>
          <w:r>
            <w:rPr>
              <w:bCs/>
              <w:color w:val="auto"/>
              <w:szCs w:val="21"/>
              <w:highlight w:val="none"/>
            </w:rPr>
            <w:t xml:space="preserve">规定时间内通过</w:t>
          </w:r>
          <w:r>
            <w:rPr>
              <w:rFonts w:hint="eastAsia" w:ascii="Microsoft New Tai Lue" w:hAnsi="Microsoft New Tai Lue" w:cs="宋体"/>
              <w:color w:val="auto"/>
              <w:highlight w:val="none"/>
              <w:u w:val="single"/>
            </w:rPr>
            <w:t xml:space="preserve">“苏采云”系统</w:t>
          </w:r>
        </w:sdtContent>
      </w:sdt>
      <w:r>
        <w:rPr>
          <w:bCs/>
          <w:color w:val="auto"/>
          <w:szCs w:val="21"/>
          <w:highlight w:val="none"/>
        </w:rPr>
        <w:t xml:space="preserve">获取招标文件，并于</w:t>
      </w:r>
      <w:sdt>
        <w:sdtPr>
          <w15:appearance w15:val="boundingBox"/>
          <w:id w:val="1060367258"/>
          <w:placeholder>
            <w:docPart w:val="{0750ff33-8f46-4498-b164-60879e47bae3}"/>
          </w:placeholder>
          <w:rPr>
            <w:bCs/>
            <w:color w:val="auto"/>
            <w:szCs w:val="21"/>
            <w:highlight w:val="none"/>
          </w:rPr>
        </w:sdtPr>
        <w:sdtContent>
          <w:r>
            <w:rPr>
              <w:bCs/>
              <w:color w:val="auto"/>
              <w:szCs w:val="21"/>
              <w:highlight w:val="none"/>
            </w:rPr>
            <w:t xml:space="preserve">202</w:t>
          </w:r>
          <w:r>
            <w:rPr>
              <w:rFonts w:hint="eastAsia"/>
              <w:bCs/>
              <w:color w:val="auto"/>
              <w:szCs w:val="21"/>
              <w:highlight w:val="none"/>
            </w:rPr>
            <w:t xml:space="preserve">5</w:t>
          </w:r>
          <w:r>
            <w:rPr>
              <w:bCs/>
              <w:color w:val="auto"/>
              <w:szCs w:val="21"/>
              <w:highlight w:val="none"/>
            </w:rPr>
            <w:t xml:space="preserve">年</w:t>
          </w:r>
          <w:r>
            <w:rPr>
              <w:rFonts w:hint="eastAsia"/>
              <w:bCs/>
              <w:color w:val="auto"/>
              <w:szCs w:val="21"/>
              <w:highlight w:val="none"/>
              <w:lang w:val="en-US" w:eastAsia="zh-CN"/>
            </w:rPr>
            <w:t xml:space="preserve">12</w:t>
          </w:r>
          <w:r>
            <w:rPr>
              <w:bCs/>
              <w:color w:val="auto"/>
              <w:szCs w:val="21"/>
              <w:highlight w:val="none"/>
            </w:rPr>
            <w:t xml:space="preserve">月</w:t>
          </w:r>
          <w:r>
            <w:rPr>
              <w:rFonts w:hint="eastAsia"/>
              <w:bCs/>
              <w:color w:val="auto"/>
              <w:szCs w:val="21"/>
              <w:highlight w:val="none"/>
              <w:lang w:val="en-US" w:eastAsia="zh-CN"/>
            </w:rPr>
            <w:t xml:space="preserve">2</w:t>
          </w:r>
          <w:r>
            <w:rPr>
              <w:rFonts w:hint="eastAsia"/>
              <w:bCs/>
              <w:color w:val="auto"/>
              <w:szCs w:val="21"/>
              <w:highlight w:val="none"/>
              <w:lang w:val="en-US" w:eastAsia="zh-CN"/>
            </w:rPr>
            <w:t xml:space="preserve">3</w:t>
          </w:r>
          <w:r>
            <w:rPr>
              <w:rFonts w:hint="eastAsia"/>
              <w:bCs/>
              <w:color w:val="auto"/>
              <w:szCs w:val="21"/>
              <w:highlight w:val="none"/>
              <w:lang w:val="en-US" w:eastAsia="zh-CN"/>
            </w:rPr>
            <w:t xml:space="preserve">日</w:t>
          </w:r>
          <w:r>
            <w:rPr>
              <w:rFonts w:hint="eastAsia"/>
              <w:bCs/>
              <w:color w:val="auto"/>
              <w:szCs w:val="21"/>
              <w:highlight w:val="none"/>
            </w:rPr>
            <w:t xml:space="preserve">13</w:t>
          </w:r>
          <w:r>
            <w:rPr>
              <w:bCs/>
              <w:color w:val="auto"/>
              <w:szCs w:val="21"/>
              <w:highlight w:val="none"/>
            </w:rPr>
            <w:t xml:space="preserve">:</w:t>
          </w:r>
          <w:r>
            <w:rPr>
              <w:rFonts w:hint="eastAsia"/>
              <w:bCs/>
              <w:color w:val="auto"/>
              <w:szCs w:val="21"/>
              <w:highlight w:val="none"/>
            </w:rPr>
            <w:t xml:space="preserve">30</w:t>
          </w:r>
        </w:sdtContent>
      </w:sdt>
      <w:r>
        <w:rPr>
          <w:bCs/>
          <w:color w:val="auto"/>
          <w:szCs w:val="21"/>
          <w:highlight w:val="none"/>
        </w:rPr>
        <w:t xml:space="preserve">（北京时间）前递交投标文件。</w:t>
      </w:r>
      <w:r/>
    </w:p>
    <w:p>
      <w:pPr>
        <w:ind w:firstLine="426"/>
        <w:spacing w:line="360" w:lineRule="auto"/>
        <w:rPr>
          <w:b/>
          <w:bCs/>
          <w:color w:val="auto"/>
          <w:szCs w:val="44"/>
          <w:highlight w:val="none"/>
        </w:rPr>
      </w:pPr>
      <w:r/>
      <w:bookmarkStart w:id="8" w:name="_Toc93909065"/>
      <w:r/>
      <w:bookmarkStart w:id="9" w:name="_Toc96347851"/>
      <w:r>
        <w:rPr>
          <w:b/>
          <w:bCs/>
          <w:color w:val="auto"/>
          <w:szCs w:val="44"/>
          <w:highlight w:val="none"/>
        </w:rPr>
        <w:t xml:space="preserve">一、项目</w:t>
      </w:r>
      <w:bookmarkEnd w:id="4"/>
      <w:r>
        <w:rPr>
          <w:b/>
          <w:bCs/>
          <w:color w:val="auto"/>
          <w:szCs w:val="44"/>
          <w:highlight w:val="none"/>
        </w:rPr>
        <w:t xml:space="preserve">基本情况</w:t>
      </w:r>
      <w:bookmarkEnd w:id="5"/>
      <w:r/>
      <w:bookmarkEnd w:id="8"/>
      <w:r/>
      <w:bookmarkEnd w:id="9"/>
      <w:r/>
      <w:r/>
    </w:p>
    <w:p>
      <w:pPr>
        <w:ind w:firstLine="420"/>
        <w:spacing w:line="360" w:lineRule="auto"/>
        <w:rPr>
          <w:rFonts w:hint="eastAsia" w:eastAsia="宋体"/>
          <w:bCs/>
          <w:color w:val="auto"/>
          <w:szCs w:val="21"/>
          <w:highlight w:val="none"/>
          <w:lang w:eastAsia="zh-CN"/>
        </w:rPr>
      </w:pPr>
      <w:r>
        <w:rPr>
          <w:bCs/>
          <w:color w:val="auto"/>
          <w:szCs w:val="21"/>
          <w:highlight w:val="none"/>
        </w:rPr>
        <w:t xml:space="preserve">1.1项目编号</w:t>
      </w:r>
      <w:sdt>
        <w:sdtPr>
          <w15:appearance w15:val="boundingBox"/>
          <w:id w:val="696048593"/>
          <w:placeholder>
            <w:docPart w:val="{0750ff33-8f46-4498-b164-60879e47bae3}"/>
          </w:placeholder>
          <w:rPr>
            <w:bCs/>
            <w:color w:val="auto"/>
            <w:szCs w:val="21"/>
            <w:highlight w:val="none"/>
          </w:rPr>
        </w:sdtPr>
        <w:sdtContent>
          <w:r>
            <w:rPr>
              <w:rFonts w:hint="eastAsia"/>
              <w:bCs/>
              <w:color w:val="auto"/>
              <w:szCs w:val="21"/>
              <w:highlight w:val="none"/>
            </w:rPr>
            <w:t xml:space="preserve">：</w:t>
          </w:r>
        </w:sdtContent>
      </w:sdt>
      <w:r>
        <w:rPr>
          <w:rFonts w:hint="eastAsia"/>
          <w:bCs/>
          <w:color w:val="auto"/>
          <w:szCs w:val="21"/>
          <w:highlight w:val="none"/>
          <w:lang w:eastAsia="zh-CN"/>
        </w:rPr>
        <w:t xml:space="preserve">JSZC-320500-JITC-G2025-0380</w:t>
      </w:r>
      <w:r/>
    </w:p>
    <w:p>
      <w:pPr>
        <w:ind w:firstLine="420"/>
        <w:spacing w:line="360" w:lineRule="auto"/>
        <w:rPr>
          <w:bCs/>
          <w:color w:val="auto"/>
          <w:szCs w:val="21"/>
          <w:highlight w:val="none"/>
        </w:rPr>
      </w:pPr>
      <w:r>
        <w:rPr>
          <w:bCs/>
          <w:color w:val="auto"/>
          <w:szCs w:val="21"/>
          <w:highlight w:val="none"/>
        </w:rPr>
        <w:t xml:space="preserve">1.2项目名称：</w:t>
      </w:r>
      <w:r>
        <w:rPr>
          <w:rFonts w:hint="eastAsia"/>
          <w:bCs/>
          <w:color w:val="auto"/>
          <w:szCs w:val="21"/>
          <w:highlight w:val="none"/>
        </w:rPr>
        <w:t xml:space="preserve">苏州城市学院数字经济与管理学院专业实验平台</w:t>
      </w:r>
      <w:r/>
    </w:p>
    <w:p>
      <w:pPr>
        <w:ind w:firstLine="420"/>
        <w:spacing w:line="360" w:lineRule="auto"/>
        <w:rPr>
          <w:bCs/>
          <w:color w:val="auto"/>
          <w:szCs w:val="21"/>
          <w:highlight w:val="none"/>
        </w:rPr>
      </w:pPr>
      <w:r>
        <w:rPr>
          <w:bCs/>
          <w:color w:val="auto"/>
          <w:szCs w:val="21"/>
          <w:highlight w:val="none"/>
        </w:rPr>
        <w:t xml:space="preserve">1.3预算金额：</w:t>
      </w:r>
      <w:sdt>
        <w:sdtPr>
          <w15:appearance w15:val="boundingBox"/>
          <w:id w:val="974335493"/>
          <w:placeholder>
            <w:docPart w:val="{0750ff33-8f46-4498-b164-60879e47bae3}"/>
          </w:placeholder>
          <w:rPr>
            <w:bCs/>
            <w:color w:val="auto"/>
            <w:szCs w:val="21"/>
            <w:highlight w:val="none"/>
          </w:rPr>
        </w:sdtPr>
        <w:sdtContent>
          <w:r>
            <w:rPr>
              <w:bCs/>
              <w:color w:val="auto"/>
              <w:szCs w:val="21"/>
              <w:highlight w:val="none"/>
            </w:rPr>
            <w:t xml:space="preserve">本项目总预算</w:t>
          </w:r>
          <w:r>
            <w:rPr>
              <w:rFonts w:hint="eastAsia"/>
              <w:bCs/>
              <w:color w:val="auto"/>
              <w:szCs w:val="21"/>
              <w:highlight w:val="none"/>
            </w:rPr>
            <w:t xml:space="preserve">80</w:t>
          </w:r>
          <w:r>
            <w:rPr>
              <w:bCs/>
              <w:color w:val="auto"/>
              <w:szCs w:val="21"/>
              <w:highlight w:val="none"/>
            </w:rPr>
            <w:t xml:space="preserve">万元。</w:t>
          </w:r>
        </w:sdtContent>
      </w:sdt>
      <w:r>
        <w:rPr>
          <w:bCs/>
          <w:color w:val="auto"/>
          <w:szCs w:val="21"/>
          <w:highlight w:val="none"/>
        </w:rPr>
        <w:t xml:space="preserve"> </w:t>
      </w:r>
      <w:r/>
    </w:p>
    <w:p>
      <w:pPr>
        <w:ind w:firstLine="420"/>
        <w:spacing w:line="360" w:lineRule="auto"/>
        <w:rPr>
          <w:bCs/>
          <w:color w:val="auto"/>
          <w:szCs w:val="21"/>
          <w:highlight w:val="none"/>
        </w:rPr>
      </w:pPr>
      <w:r>
        <w:rPr>
          <w:bCs/>
          <w:color w:val="auto"/>
          <w:szCs w:val="21"/>
          <w:highlight w:val="none"/>
        </w:rPr>
        <w:t xml:space="preserve">1.4</w:t>
      </w:r>
      <w:r>
        <w:rPr>
          <w:rFonts w:ascii="Segoe UI Symbol" w:hAnsi="Segoe UI Symbol" w:cs="Segoe UI Symbol"/>
          <w:bCs/>
          <w:color w:val="auto"/>
          <w:szCs w:val="21"/>
          <w:highlight w:val="none"/>
        </w:rPr>
        <w:t xml:space="preserve">★</w:t>
      </w:r>
      <w:r>
        <w:rPr>
          <w:bCs/>
          <w:color w:val="auto"/>
          <w:szCs w:val="21"/>
          <w:highlight w:val="none"/>
        </w:rPr>
        <w:t xml:space="preserve">最高限价：</w:t>
      </w:r>
      <w:sdt>
        <w:sdtPr>
          <w15:appearance w15:val="boundingBox"/>
          <w:id w:val="-1953539716"/>
          <w:placeholder>
            <w:docPart w:val="{0750ff33-8f46-4498-b164-60879e47bae3}"/>
          </w:placeholder>
          <w:rPr>
            <w:bCs/>
            <w:color w:val="auto"/>
            <w:szCs w:val="21"/>
            <w:highlight w:val="none"/>
          </w:rPr>
        </w:sdtPr>
        <w:sdtContent>
          <w:r>
            <w:rPr>
              <w:bCs/>
              <w:color w:val="auto"/>
              <w:szCs w:val="21"/>
              <w:highlight w:val="none"/>
            </w:rPr>
            <w:t xml:space="preserve">本项目投标总价不得高于人民币</w:t>
          </w:r>
          <w:r>
            <w:rPr>
              <w:rFonts w:hint="eastAsia"/>
              <w:bCs/>
              <w:color w:val="auto"/>
              <w:szCs w:val="21"/>
              <w:highlight w:val="none"/>
            </w:rPr>
            <w:t xml:space="preserve">80</w:t>
          </w:r>
          <w:r>
            <w:rPr>
              <w:bCs/>
              <w:color w:val="auto"/>
              <w:szCs w:val="21"/>
              <w:highlight w:val="none"/>
            </w:rPr>
            <w:t xml:space="preserve">万元</w:t>
          </w:r>
          <w:r>
            <w:rPr>
              <w:rFonts w:hint="eastAsia"/>
              <w:bCs/>
              <w:color w:val="auto"/>
              <w:szCs w:val="21"/>
              <w:highlight w:val="none"/>
            </w:rPr>
            <w:t xml:space="preserve">，且各分项不得超过单价限价，单价限价详见采购需求</w:t>
          </w:r>
          <w:r>
            <w:rPr>
              <w:bCs/>
              <w:color w:val="auto"/>
              <w:szCs w:val="21"/>
              <w:highlight w:val="none"/>
            </w:rPr>
            <w:t xml:space="preserve">（投标人投标报价不得超过上述限价金额，否则将作无效标处理）。</w:t>
          </w:r>
        </w:sdtContent>
      </w:sdt>
      <w:r/>
      <w:r/>
    </w:p>
    <w:p>
      <w:pPr>
        <w:ind w:firstLine="420"/>
        <w:spacing w:line="360" w:lineRule="auto"/>
        <w:rPr>
          <w:bCs/>
          <w:color w:val="auto"/>
          <w:szCs w:val="21"/>
          <w:highlight w:val="none"/>
        </w:rPr>
      </w:pPr>
      <w:r>
        <w:rPr>
          <w:bCs/>
          <w:color w:val="auto"/>
          <w:szCs w:val="21"/>
          <w:highlight w:val="none"/>
        </w:rPr>
        <w:t xml:space="preserve">1.5采购需求：</w:t>
      </w:r>
      <w:sdt>
        <w:sdtPr>
          <w15:appearance w15:val="boundingBox"/>
          <w:id w:val="283784773"/>
          <w:placeholder>
            <w:docPart w:val="{0750ff33-8f46-4498-b164-60879e47bae3}"/>
          </w:placeholder>
          <w:rPr>
            <w:bCs/>
            <w:color w:val="auto"/>
            <w:szCs w:val="21"/>
            <w:highlight w:val="none"/>
          </w:rPr>
        </w:sdtPr>
        <w:sdtContent>
          <w:r>
            <w:rPr>
              <w:bCs/>
              <w:color w:val="auto"/>
              <w:szCs w:val="21"/>
              <w:highlight w:val="none"/>
            </w:rPr>
            <w:t xml:space="preserve">采购</w:t>
          </w:r>
          <w:r>
            <w:rPr>
              <w:rFonts w:hint="eastAsia"/>
              <w:bCs/>
              <w:color w:val="auto"/>
              <w:szCs w:val="21"/>
              <w:highlight w:val="none"/>
            </w:rPr>
            <w:t xml:space="preserve">苏州城市学院数字经济与管理学院专业实验平台 ，</w:t>
          </w:r>
          <w:r>
            <w:rPr>
              <w:bCs/>
              <w:color w:val="auto"/>
              <w:szCs w:val="21"/>
              <w:highlight w:val="none"/>
            </w:rPr>
            <w:t xml:space="preserve">具体要求详见招标文件第四章《采购需求》</w:t>
          </w:r>
        </w:sdtContent>
      </w:sdt>
      <w:r>
        <w:rPr>
          <w:rFonts w:hint="eastAsia"/>
          <w:bCs/>
          <w:color w:val="auto"/>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1.6标段划分：本项目共划分</w:t>
      </w:r>
      <w:sdt>
        <w:sdtPr>
          <w15:appearance w15:val="boundingBox"/>
          <w:id w:val="-156072344"/>
          <w:placeholder>
            <w:docPart w:val="{0750ff33-8f46-4498-b164-60879e47bae3}"/>
          </w:placeholder>
          <w:rPr>
            <w:bCs/>
            <w:color w:val="auto"/>
            <w:szCs w:val="21"/>
            <w:highlight w:val="none"/>
          </w:rPr>
        </w:sdtPr>
        <w:sdtContent>
          <w:r>
            <w:rPr>
              <w:bCs/>
              <w:color w:val="auto"/>
              <w:szCs w:val="21"/>
              <w:highlight w:val="none"/>
            </w:rPr>
            <w:t xml:space="preserve">1</w:t>
          </w:r>
        </w:sdtContent>
      </w:sdt>
      <w:r>
        <w:rPr>
          <w:bCs/>
          <w:color w:val="auto"/>
          <w:szCs w:val="21"/>
          <w:highlight w:val="none"/>
        </w:rPr>
        <w:t xml:space="preserve">个标段。</w:t>
      </w:r>
      <w:r/>
    </w:p>
    <w:p>
      <w:pPr>
        <w:ind w:firstLine="420"/>
        <w:spacing w:line="360" w:lineRule="auto"/>
        <w:rPr>
          <w:bCs/>
          <w:color w:val="auto"/>
          <w:szCs w:val="21"/>
          <w:highlight w:val="none"/>
        </w:rPr>
      </w:pPr>
      <w:r>
        <w:rPr>
          <w:bCs/>
          <w:color w:val="auto"/>
          <w:szCs w:val="21"/>
          <w:highlight w:val="none"/>
        </w:rPr>
        <w:t xml:space="preserve">1.7</w:t>
      </w:r>
      <w:r>
        <w:rPr>
          <w:rFonts w:ascii="Segoe UI Symbol" w:hAnsi="Segoe UI Symbol" w:cs="Segoe UI Symbol"/>
          <w:bCs/>
          <w:color w:val="auto"/>
          <w:szCs w:val="21"/>
          <w:highlight w:val="none"/>
        </w:rPr>
        <w:t xml:space="preserve">★</w:t>
      </w:r>
      <w:r>
        <w:rPr>
          <w:bCs/>
          <w:color w:val="auto"/>
          <w:szCs w:val="21"/>
          <w:highlight w:val="none"/>
        </w:rPr>
        <w:t xml:space="preserve">合同履行期限：</w:t>
      </w:r>
      <w:sdt>
        <w:sdtPr>
          <w15:appearance w15:val="boundingBox"/>
          <w:id w:val="1112247679"/>
          <w:placeholder>
            <w:docPart w:val="{0750ff33-8f46-4498-b164-60879e47bae3}"/>
          </w:placeholder>
          <w:rPr>
            <w:bCs/>
            <w:color w:val="auto"/>
            <w:szCs w:val="21"/>
            <w:highlight w:val="none"/>
          </w:rPr>
        </w:sdtPr>
        <w:sdtContent>
          <w:r>
            <w:rPr>
              <w:rFonts w:hint="eastAsia"/>
              <w:bCs/>
              <w:color w:val="auto"/>
              <w:szCs w:val="21"/>
              <w:highlight w:val="none"/>
            </w:rPr>
            <w:t xml:space="preserve">自合同签订之日起30个日历日。</w:t>
          </w:r>
        </w:sdtContent>
      </w:sdt>
      <w:r/>
      <w:r/>
    </w:p>
    <w:p>
      <w:pPr>
        <w:ind w:firstLine="420"/>
        <w:spacing w:line="360" w:lineRule="auto"/>
        <w:rPr>
          <w:bCs/>
          <w:color w:val="auto"/>
          <w:szCs w:val="21"/>
          <w:highlight w:val="none"/>
        </w:rPr>
      </w:pPr>
      <w:r>
        <w:rPr>
          <w:bCs/>
          <w:color w:val="auto"/>
          <w:szCs w:val="21"/>
          <w:highlight w:val="none"/>
        </w:rPr>
        <w:t xml:space="preserve">1.8本项目是否接受联合体投标：</w:t>
      </w:r>
      <w:sdt>
        <w:sdtPr>
          <w15:appearance w15:val="boundingBox"/>
          <w:id w:val="1825395310"/>
          <w:placeholder>
            <w:docPart w:val="{0750ff33-8f46-4498-b164-60879e47bae3}"/>
          </w:placeholder>
          <w:rPr>
            <w:bCs/>
            <w:color w:val="auto"/>
            <w:szCs w:val="21"/>
            <w:highlight w:val="none"/>
          </w:rPr>
        </w:sdtPr>
        <w:sdtContent>
          <w:r>
            <w:rPr>
              <w:bCs/>
              <w:color w:val="auto"/>
              <w:szCs w:val="21"/>
              <w:highlight w:val="none"/>
            </w:rPr>
            <w:t xml:space="preserve">不接受</w:t>
          </w:r>
        </w:sdtContent>
      </w:sdt>
      <w:r/>
      <w:r/>
    </w:p>
    <w:p>
      <w:pPr>
        <w:ind w:firstLine="420"/>
        <w:spacing w:line="360" w:lineRule="auto"/>
        <w:rPr>
          <w:bCs/>
          <w:color w:val="auto"/>
          <w:szCs w:val="21"/>
          <w:highlight w:val="none"/>
        </w:rPr>
      </w:pPr>
      <w:r>
        <w:rPr>
          <w:bCs/>
          <w:color w:val="auto"/>
          <w:szCs w:val="21"/>
          <w:highlight w:val="none"/>
        </w:rPr>
        <w:t xml:space="preserve">1.9本项目是否接受进口产品：</w:t>
      </w:r>
      <w:sdt>
        <w:sdtPr>
          <w15:appearance w15:val="boundingBox"/>
          <w:id w:val="715861105"/>
          <w:placeholder>
            <w:docPart w:val="{0750ff33-8f46-4498-b164-60879e47bae3}"/>
          </w:placeholder>
          <w:rPr>
            <w:bCs/>
            <w:color w:val="auto"/>
            <w:szCs w:val="21"/>
            <w:highlight w:val="none"/>
          </w:rPr>
        </w:sdtPr>
        <w:sdtContent>
          <w:r>
            <w:rPr>
              <w:rFonts w:hint="eastAsia"/>
              <w:bCs/>
              <w:color w:val="auto"/>
              <w:szCs w:val="21"/>
              <w:highlight w:val="none"/>
            </w:rPr>
            <w:t xml:space="preserve">不</w:t>
          </w:r>
          <w:r>
            <w:rPr>
              <w:bCs/>
              <w:color w:val="auto"/>
              <w:szCs w:val="21"/>
              <w:highlight w:val="none"/>
            </w:rPr>
            <w:t xml:space="preserve">接受</w:t>
          </w:r>
        </w:sdtContent>
      </w:sdt>
      <w:r/>
      <w:r/>
    </w:p>
    <w:p>
      <w:pPr>
        <w:ind w:firstLine="426"/>
        <w:spacing w:line="360" w:lineRule="auto"/>
        <w:rPr>
          <w:b/>
          <w:bCs/>
          <w:color w:val="auto"/>
          <w:szCs w:val="44"/>
          <w:highlight w:val="none"/>
        </w:rPr>
      </w:pPr>
      <w:r/>
      <w:bookmarkStart w:id="10" w:name="_Toc80264698"/>
      <w:r/>
      <w:bookmarkStart w:id="11" w:name="_Toc93909066"/>
      <w:r/>
      <w:bookmarkStart w:id="12" w:name="_Toc80792689"/>
      <w:r/>
      <w:bookmarkStart w:id="13" w:name="_Toc96347852"/>
      <w:r>
        <w:rPr>
          <w:b/>
          <w:bCs/>
          <w:color w:val="auto"/>
          <w:szCs w:val="44"/>
          <w:highlight w:val="none"/>
        </w:rPr>
        <w:t xml:space="preserve">二、</w:t>
      </w:r>
      <w:bookmarkEnd w:id="10"/>
      <w:r>
        <w:rPr>
          <w:b/>
          <w:bCs/>
          <w:color w:val="auto"/>
          <w:szCs w:val="44"/>
          <w:highlight w:val="none"/>
        </w:rPr>
        <w:t xml:space="preserve">申请人的资格要求</w:t>
      </w:r>
      <w:bookmarkEnd w:id="11"/>
      <w:r/>
      <w:bookmarkEnd w:id="12"/>
      <w:r>
        <w:rPr>
          <w:b/>
          <w:bCs/>
          <w:color w:val="auto"/>
          <w:szCs w:val="44"/>
          <w:highlight w:val="none"/>
        </w:rPr>
        <w:t xml:space="preserve">：</w:t>
      </w:r>
      <w:bookmarkEnd w:id="13"/>
      <w:r/>
      <w:r/>
    </w:p>
    <w:p>
      <w:pPr>
        <w:ind w:firstLine="420"/>
        <w:spacing w:line="360" w:lineRule="auto"/>
        <w:rPr>
          <w:bCs/>
          <w:color w:val="auto"/>
          <w:szCs w:val="21"/>
          <w:highlight w:val="none"/>
        </w:rPr>
      </w:pPr>
      <w:r/>
      <w:bookmarkStart w:id="14" w:name="_Toc96347853"/>
      <w:r/>
      <w:bookmarkStart w:id="15" w:name="_Toc93909067"/>
      <w:r/>
      <w:bookmarkStart w:id="16" w:name="_Toc80792690"/>
      <w:r/>
      <w:bookmarkStart w:id="17" w:name="_Toc80264699"/>
      <w:r>
        <w:rPr>
          <w:bCs/>
          <w:color w:val="auto"/>
          <w:szCs w:val="21"/>
          <w:highlight w:val="none"/>
        </w:rPr>
        <w:t xml:space="preserve">2.1满足《中华人民共和国政府采购法》第二十二条规定：</w:t>
      </w:r>
      <w:r/>
    </w:p>
    <w:p>
      <w:pPr>
        <w:ind w:firstLine="420"/>
        <w:spacing w:line="360" w:lineRule="auto"/>
        <w:rPr>
          <w:bCs/>
          <w:color w:val="auto"/>
          <w:szCs w:val="21"/>
          <w:highlight w:val="none"/>
        </w:rPr>
      </w:pPr>
      <w:r>
        <w:rPr>
          <w:bCs/>
          <w:color w:val="auto"/>
          <w:szCs w:val="21"/>
          <w:highlight w:val="none"/>
        </w:rPr>
        <w:t xml:space="preserve">2.1.1法人或者其他组织的营业执照等证明文件，自然人的身份证明；</w:t>
      </w:r>
      <w:r/>
    </w:p>
    <w:p>
      <w:pPr>
        <w:ind w:firstLine="420"/>
        <w:spacing w:line="360" w:lineRule="auto"/>
        <w:rPr>
          <w:bCs/>
          <w:color w:val="auto"/>
          <w:szCs w:val="21"/>
          <w:highlight w:val="none"/>
        </w:rPr>
      </w:pPr>
      <w:r>
        <w:rPr>
          <w:bCs/>
          <w:color w:val="auto"/>
          <w:szCs w:val="21"/>
          <w:highlight w:val="none"/>
        </w:rPr>
        <w:t xml:space="preserve">2.1.2</w:t>
      </w:r>
      <w:r>
        <w:rPr>
          <w:rFonts w:hint="eastAsia"/>
          <w:bCs/>
          <w:color w:val="auto"/>
          <w:szCs w:val="21"/>
          <w:highlight w:val="none"/>
        </w:rPr>
        <w:t xml:space="preserve">具有良好的商业信誉和健全的财务会计制度（提供参加本次政府采购活动前半年内（2025年05月（含）以来）至少一个月的会计报表，或者提供2024年度的财务报告，或投标截止时间前六个月内银行出具的资信证明，或财政部门认可的政府采购专业担保机构出具的投标担保函）（法人或者其他组织成立未满一年的可以不提供）；</w:t>
      </w:r>
      <w:r/>
    </w:p>
    <w:p>
      <w:pPr>
        <w:ind w:firstLine="420"/>
        <w:spacing w:line="360" w:lineRule="auto"/>
        <w:rPr>
          <w:bCs/>
          <w:color w:val="auto"/>
          <w:szCs w:val="21"/>
          <w:highlight w:val="none"/>
        </w:rPr>
      </w:pPr>
      <w:r>
        <w:rPr>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bCs/>
          <w:color w:val="auto"/>
          <w:szCs w:val="21"/>
          <w:highlight w:val="none"/>
        </w:rPr>
      </w:pPr>
      <w:r>
        <w:rPr>
          <w:bCs/>
          <w:color w:val="auto"/>
          <w:szCs w:val="21"/>
          <w:highlight w:val="none"/>
        </w:rPr>
        <w:t xml:space="preserve">2.1.4有依法缴纳税收和社会保障资金的良好记录，提供本次采购活动前6个月内（即</w:t>
      </w:r>
      <w:sdt>
        <w:sdtPr>
          <w15:appearance w15:val="boundingBox"/>
          <w:id w:val="1441181680"/>
          <w:placeholder>
            <w:docPart w:val="{d7b8818e-132f-413a-bb0f-912bd3ff629d}"/>
          </w:placeholder>
          <w:rPr>
            <w:bCs/>
            <w:color w:val="auto"/>
            <w:szCs w:val="21"/>
            <w:highlight w:val="none"/>
          </w:rPr>
        </w:sdtPr>
        <w:sdtContent>
          <w:r>
            <w:rPr>
              <w:bCs/>
              <w:color w:val="auto"/>
              <w:szCs w:val="21"/>
              <w:highlight w:val="none"/>
            </w:rPr>
            <w:t xml:space="preserve">202</w:t>
          </w:r>
          <w:r>
            <w:rPr>
              <w:rFonts w:hint="eastAsia"/>
              <w:bCs/>
              <w:color w:val="auto"/>
              <w:szCs w:val="21"/>
              <w:highlight w:val="none"/>
            </w:rPr>
            <w:t xml:space="preserve">5</w:t>
          </w:r>
          <w:r>
            <w:rPr>
              <w:bCs/>
              <w:color w:val="auto"/>
              <w:szCs w:val="21"/>
              <w:highlight w:val="none"/>
            </w:rPr>
            <w:t xml:space="preserve">年</w:t>
          </w:r>
          <w:r>
            <w:rPr>
              <w:rFonts w:hint="eastAsia"/>
              <w:bCs/>
              <w:color w:val="auto"/>
              <w:szCs w:val="21"/>
              <w:highlight w:val="none"/>
            </w:rPr>
            <w:t xml:space="preserve">05</w:t>
          </w:r>
          <w:r>
            <w:rPr>
              <w:bCs/>
              <w:color w:val="auto"/>
              <w:szCs w:val="21"/>
              <w:highlight w:val="none"/>
            </w:rPr>
            <w:t xml:space="preserve">月（含）以来</w:t>
          </w:r>
        </w:sdtContent>
      </w:sdt>
      <w:r>
        <w:rPr>
          <w:bCs/>
          <w:color w:val="auto"/>
          <w:szCs w:val="21"/>
          <w:highlight w:val="none"/>
        </w:rPr>
        <w:t xml:space="preserve">），至少1个月缴纳税收和社会保险的凭证复印件，依法享受免缴、缓缴的，提供证明材料复印件；</w:t>
      </w:r>
      <w:r/>
    </w:p>
    <w:p>
      <w:pPr>
        <w:ind w:firstLine="420"/>
        <w:spacing w:line="360" w:lineRule="auto"/>
        <w:rPr>
          <w:bCs/>
          <w:color w:val="auto"/>
          <w:szCs w:val="21"/>
          <w:highlight w:val="none"/>
        </w:rPr>
      </w:pPr>
      <w:r>
        <w:rPr>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bCs/>
          <w:color w:val="auto"/>
          <w:szCs w:val="21"/>
          <w:highlight w:val="none"/>
        </w:rPr>
      </w:pPr>
      <w:r>
        <w:rPr>
          <w:bCs/>
          <w:color w:val="auto"/>
          <w:szCs w:val="21"/>
          <w:highlight w:val="none"/>
        </w:rPr>
        <w:t xml:space="preserve">2.1.6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ind w:firstLine="420"/>
        <w:spacing w:line="360" w:lineRule="auto"/>
        <w:rPr>
          <w:bCs/>
          <w:color w:val="auto"/>
          <w:szCs w:val="21"/>
          <w:highlight w:val="none"/>
        </w:rPr>
      </w:pPr>
      <w:r>
        <w:rPr>
          <w:bCs/>
          <w:color w:val="auto"/>
          <w:szCs w:val="21"/>
          <w:highlight w:val="none"/>
        </w:rPr>
        <w:t xml:space="preserve">2.2落实政府采购政策需满足的资格要求：</w:t>
      </w:r>
      <w:r/>
    </w:p>
    <w:p>
      <w:pPr>
        <w:jc w:val="both"/>
        <w:spacing w:before="0" w:after="0" w:line="85" w:lineRule="atLeast"/>
        <w:pBdr>
          <w:top w:val="none" w:color="000000" w:sz="4" w:space="0"/>
          <w:left w:val="none" w:color="000000" w:sz="4" w:space="0"/>
          <w:bottom w:val="none" w:color="000000" w:sz="4" w:space="0"/>
          <w:right w:val="none" w:color="000000" w:sz="4" w:space="0"/>
        </w:pBdr>
      </w:pPr>
      <w:r>
        <w:rPr>
          <w:bCs/>
          <w:color w:val="auto"/>
          <w:szCs w:val="21"/>
          <w:highlight w:val="none"/>
        </w:rPr>
        <w:t xml:space="preserve">    2.2.1中小企业政策：</w:t>
      </w:r>
      <w:sdt>
        <w:sdtPr>
          <w:alias w:val=""/>
          <w15:appearance w15:val="boundingBox"/>
          <w:label w:val="0"/>
          <w:lock w:val="unlocked"/>
          <w:placeholder>
            <w:docPart w:val="719cccd853c1476aaf5878ca02e65ca1"/>
          </w:placeholder>
          <w:tag w:val=""/>
          <w:rPr>
            <w:bCs/>
            <w:color w:val="auto"/>
            <w:szCs w:val="21"/>
            <w:highlight w:val="none"/>
          </w:rPr>
        </w:sdtPr>
        <w:sdtContent>
          <w:r>
            <w:rPr>
              <w:bCs/>
              <w:color w:val="auto"/>
              <w:szCs w:val="21"/>
              <w:highlight w:val="none"/>
            </w:rPr>
            <w:t xml:space="preserve">■本项目</w:t>
          </w:r>
          <w:r>
            <w:rPr>
              <w:rFonts w:hint="eastAsia"/>
              <w:bCs/>
              <w:color w:val="auto"/>
              <w:szCs w:val="21"/>
              <w:highlight w:val="none"/>
            </w:rPr>
            <w:t xml:space="preserve">专门</w:t>
          </w:r>
          <w:r>
            <w:rPr>
              <w:bCs/>
              <w:color w:val="auto"/>
              <w:szCs w:val="21"/>
              <w:highlight w:val="none"/>
            </w:rPr>
            <w:t xml:space="preserve">面向中小企业预留采购份额</w:t>
          </w:r>
        </w:sdtContent>
      </w:sdt>
      <w:r>
        <w:t xml:space="preserve"> </w:t>
      </w:r>
      <w:r>
        <w:rPr>
          <w:rFonts w:ascii="SimSun" w:hAnsi="SimSun" w:eastAsia="SimSun" w:cs="SimSun"/>
          <w:color w:val="000000"/>
          <w:sz w:val="21"/>
        </w:rPr>
        <w:t xml:space="preserve">(属于专门面向中小企业采购的项目,供应商应为中小微企业或监狱企业或残疾人福利性单位。</w:t>
      </w:r>
      <w:r>
        <w:t xml:space="preserve">)</w:t>
      </w:r>
      <w:r>
        <w:rPr>
          <w:sz w:val="21"/>
        </w:rPr>
      </w:r>
      <w:r/>
    </w:p>
    <w:p>
      <w:pPr>
        <w:ind w:firstLine="420"/>
        <w:spacing w:line="360" w:lineRule="auto"/>
        <w:rPr>
          <w:bCs/>
          <w:color w:val="auto"/>
          <w:szCs w:val="21"/>
          <w:highlight w:val="none"/>
        </w:rPr>
      </w:pPr>
      <w:r>
        <w:rPr>
          <w:bCs/>
          <w:color w:val="auto"/>
          <w:szCs w:val="21"/>
          <w:highlight w:val="none"/>
        </w:rPr>
        <w:t xml:space="preserve">2.2.2其它落实政府采购政策的资格要求（如有）：</w:t>
      </w:r>
      <w:sdt>
        <w:sdtPr>
          <w15:appearance w15:val="boundingBox"/>
          <w:id w:val="-1648272104"/>
          <w:placeholder>
            <w:docPart w:val="{0750ff33-8f46-4498-b164-60879e47bae3}"/>
          </w:placeholder>
          <w:rPr>
            <w:bCs/>
            <w:color w:val="auto"/>
            <w:szCs w:val="21"/>
            <w:highlight w:val="none"/>
          </w:rPr>
        </w:sdtPr>
        <w:sdtContent>
          <w:r>
            <w:rPr>
              <w:bCs/>
              <w:color w:val="auto"/>
              <w:szCs w:val="21"/>
              <w:highlight w:val="none"/>
            </w:rPr>
            <w:t xml:space="preserve">无</w:t>
          </w:r>
        </w:sdtContent>
      </w:sdt>
      <w:r>
        <w:rPr>
          <w:bCs/>
          <w:color w:val="auto"/>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2.3本项目的特定资格要求：</w:t>
      </w:r>
      <w:r/>
    </w:p>
    <w:p>
      <w:pPr>
        <w:ind w:firstLine="420"/>
        <w:spacing w:line="360" w:lineRule="auto"/>
        <w:rPr>
          <w:bCs/>
          <w:color w:val="auto"/>
          <w:szCs w:val="21"/>
          <w:highlight w:val="none"/>
        </w:rPr>
      </w:pPr>
      <w:r>
        <w:rPr>
          <w:rFonts w:hint="eastAsia"/>
          <w:bCs/>
          <w:color w:val="auto"/>
          <w:szCs w:val="21"/>
          <w:highlight w:val="none"/>
        </w:rPr>
        <w:t xml:space="preserve">2.3.1供应商存在下列情形的不得参加本次招标活动：</w:t>
      </w:r>
      <w:r/>
    </w:p>
    <w:p>
      <w:pPr>
        <w:ind w:firstLine="420"/>
        <w:spacing w:line="360" w:lineRule="auto"/>
        <w:rPr>
          <w:bCs/>
          <w:color w:val="auto"/>
          <w:szCs w:val="21"/>
          <w:highlight w:val="none"/>
        </w:rPr>
      </w:pPr>
      <w:r>
        <w:rPr>
          <w:rFonts w:hint="eastAsia"/>
          <w:bCs/>
          <w:color w:val="auto"/>
          <w:szCs w:val="21"/>
          <w:highlight w:val="none"/>
        </w:rPr>
        <w:t xml:space="preserve">2.3..1单位负责人为同一人或者存在直接控股、管理关系的不同供应商，不得参加同一合同项下的政府采购活动。</w:t>
      </w:r>
      <w:r/>
    </w:p>
    <w:p>
      <w:pPr>
        <w:ind w:firstLine="420"/>
        <w:spacing w:line="360" w:lineRule="auto"/>
        <w:rPr>
          <w:bCs/>
          <w:color w:val="auto"/>
          <w:szCs w:val="21"/>
          <w:highlight w:val="none"/>
        </w:rPr>
      </w:pPr>
      <w:r>
        <w:rPr>
          <w:rFonts w:hint="eastAsia"/>
          <w:bCs/>
          <w:color w:val="auto"/>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bCs/>
          <w:color w:val="auto"/>
          <w:szCs w:val="21"/>
          <w:highlight w:val="none"/>
        </w:rPr>
      </w:pPr>
      <w:r>
        <w:rPr>
          <w:rFonts w:hint="eastAsia"/>
          <w:bCs/>
          <w:color w:val="auto"/>
          <w:szCs w:val="21"/>
          <w:highlight w:val="none"/>
        </w:rPr>
        <w:t xml:space="preserve">2.3.1.3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numPr>
          <w:ilvl w:val="0"/>
          <w:numId w:val="1"/>
        </w:numPr>
        <w:ind w:firstLine="426"/>
        <w:spacing w:line="360" w:lineRule="auto"/>
        <w:rPr>
          <w:b/>
          <w:bCs/>
          <w:color w:val="auto"/>
          <w:szCs w:val="44"/>
          <w:highlight w:val="none"/>
        </w:rPr>
      </w:pPr>
      <w:r>
        <w:rPr>
          <w:b/>
          <w:bCs/>
          <w:color w:val="auto"/>
          <w:szCs w:val="44"/>
          <w:highlight w:val="none"/>
        </w:rPr>
        <w:t xml:space="preserve">获取招标文件</w:t>
      </w:r>
      <w:bookmarkEnd w:id="14"/>
      <w:r/>
      <w:bookmarkEnd w:id="15"/>
      <w:r/>
      <w:bookmarkEnd w:id="16"/>
      <w:r/>
      <w:bookmarkEnd w:id="17"/>
      <w:r/>
      <w:r/>
    </w:p>
    <w:p>
      <w:pPr>
        <w:ind w:firstLine="525"/>
        <w:spacing w:line="360" w:lineRule="auto"/>
        <w:rPr>
          <w:rFonts w:ascii="Microsoft New Tai Lue" w:hAnsi="Microsoft New Tai Lue" w:cs="Microsoft New Tai Lue"/>
          <w:color w:val="auto"/>
          <w:szCs w:val="21"/>
          <w:highlight w:val="none"/>
        </w:rPr>
      </w:pPr>
      <w:r/>
      <w:bookmarkStart w:id="18" w:name="_Toc80264700"/>
      <w:r>
        <w:rPr>
          <w:rFonts w:hint="eastAsia" w:ascii="Microsoft New Tai Lue" w:hAnsi="Microsoft New Tai Lue" w:cs="宋体"/>
          <w:color w:val="auto"/>
          <w:szCs w:val="21"/>
          <w:highlight w:val="none"/>
        </w:rPr>
        <w:t xml:space="preserve">时间：自本公告发布之日起至</w:t>
      </w:r>
      <w:r>
        <w:rPr>
          <w:rFonts w:ascii="Microsoft New Tai Lue" w:hAnsi="Microsoft New Tai Lue" w:cs="Microsoft New Tai Lue"/>
          <w:color w:val="auto"/>
          <w:szCs w:val="21"/>
          <w:highlight w:val="none"/>
        </w:rPr>
        <w:t xml:space="preserve">202</w:t>
      </w:r>
      <w:r>
        <w:rPr>
          <w:rFonts w:hint="eastAsia" w:ascii="Microsoft New Tai Lue" w:hAnsi="Microsoft New Tai Lue" w:cs="Microsoft New Tai Lue"/>
          <w:color w:val="auto"/>
          <w:szCs w:val="21"/>
          <w:highlight w:val="none"/>
        </w:rPr>
        <w:t xml:space="preserve">5</w:t>
      </w:r>
      <w:r>
        <w:rPr>
          <w:rFonts w:hint="eastAsia" w:ascii="Microsoft New Tai Lue" w:hAnsi="Microsoft New Tai Lue" w:cs="宋体"/>
          <w:color w:val="auto"/>
          <w:szCs w:val="21"/>
          <w:highlight w:val="none"/>
        </w:rPr>
        <w:t xml:space="preserve">年</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lang w:val="en-US" w:eastAsia="zh-CN"/>
        </w:rPr>
        <w:t xml:space="preserve">2</w:t>
      </w:r>
      <w:r>
        <w:rPr>
          <w:rFonts w:hint="eastAsia" w:ascii="Microsoft New Tai Lue" w:hAnsi="Microsoft New Tai Lue" w:cs="宋体"/>
          <w:color w:val="auto"/>
          <w:szCs w:val="21"/>
          <w:highlight w:val="none"/>
        </w:rPr>
        <w:t xml:space="preserve">月</w:t>
      </w:r>
      <w:r>
        <w:rPr>
          <w:rFonts w:hint="eastAsia" w:ascii="Microsoft New Tai Lue" w:hAnsi="Microsoft New Tai Lue" w:cs="宋体"/>
          <w:color w:val="auto"/>
          <w:szCs w:val="21"/>
          <w:highlight w:val="none"/>
        </w:rPr>
        <w:t xml:space="preserve">0</w:t>
      </w:r>
      <w:r>
        <w:rPr>
          <w:rFonts w:hint="eastAsia" w:ascii="Microsoft New Tai Lue" w:hAnsi="Microsoft New Tai Lue" w:cs="宋体"/>
          <w:color w:val="auto"/>
          <w:szCs w:val="21"/>
          <w:highlight w:val="none"/>
        </w:rPr>
        <w:t xml:space="preserve">9</w:t>
      </w:r>
      <w:r>
        <w:rPr>
          <w:rFonts w:hint="eastAsia" w:ascii="Microsoft New Tai Lue" w:hAnsi="Microsoft New Tai Lue" w:cs="宋体"/>
          <w:color w:val="auto"/>
          <w:szCs w:val="21"/>
          <w:highlight w:val="none"/>
        </w:rPr>
        <w:t xml:space="preserve">日</w:t>
      </w:r>
      <w:r>
        <w:rPr>
          <w:rFonts w:hint="eastAsia" w:ascii="Microsoft New Tai Lue" w:hAnsi="Microsoft New Tai Lue" w:cs="宋体"/>
          <w:color w:val="auto"/>
          <w:szCs w:val="21"/>
          <w:highlight w:val="none"/>
        </w:rPr>
        <w:t xml:space="preserve">，</w:t>
      </w:r>
      <w:r>
        <w:rPr>
          <w:rFonts w:hint="eastAsia" w:ascii="Microsoft New Tai Lue" w:hAnsi="Microsoft New Tai Lue" w:cs="宋体"/>
          <w:color w:val="auto"/>
          <w:szCs w:val="21"/>
          <w:highlight w:val="none"/>
        </w:rPr>
        <w:t xml:space="preserve">每天上午</w:t>
      </w:r>
      <w:r>
        <w:rPr>
          <w:rFonts w:ascii="Microsoft New Tai Lue" w:hAnsi="Microsoft New Tai Lue" w:cs="Microsoft New Tai Lue"/>
          <w:color w:val="auto"/>
          <w:szCs w:val="21"/>
          <w:highlight w:val="none"/>
        </w:rPr>
        <w:t xml:space="preserve">9</w:t>
      </w:r>
      <w:r>
        <w:rPr>
          <w:rFonts w:hint="eastAsia" w:ascii="Microsoft New Tai Lue" w:hAnsi="Microsoft New Tai Lue" w:cs="宋体"/>
          <w:color w:val="auto"/>
          <w:szCs w:val="21"/>
          <w:highlight w:val="none"/>
        </w:rPr>
        <w:t xml:space="preserve">：</w:t>
      </w:r>
      <w:r>
        <w:rPr>
          <w:rFonts w:ascii="Microsoft New Tai Lue" w:hAnsi="Microsoft New Tai Lue" w:cs="Microsoft New Tai Lue"/>
          <w:color w:val="auto"/>
          <w:szCs w:val="21"/>
          <w:highlight w:val="none"/>
        </w:rPr>
        <w:t xml:space="preserve">00</w:t>
      </w:r>
      <w:r>
        <w:rPr>
          <w:rFonts w:hint="eastAsia" w:ascii="Microsoft New Tai Lue" w:hAnsi="Microsoft New Tai Lue" w:cs="宋体"/>
          <w:color w:val="auto"/>
          <w:szCs w:val="21"/>
          <w:highlight w:val="none"/>
        </w:rPr>
        <w:t xml:space="preserve">至</w:t>
      </w:r>
      <w:r>
        <w:rPr>
          <w:rFonts w:ascii="Microsoft New Tai Lue" w:hAnsi="Microsoft New Tai Lue" w:cs="Microsoft New Tai Lue"/>
          <w:color w:val="auto"/>
          <w:szCs w:val="21"/>
          <w:highlight w:val="none"/>
        </w:rPr>
        <w:t xml:space="preserve">11</w:t>
      </w:r>
      <w:r>
        <w:rPr>
          <w:rFonts w:hint="eastAsia" w:ascii="Microsoft New Tai Lue" w:hAnsi="Microsoft New Tai Lue" w:cs="宋体"/>
          <w:color w:val="auto"/>
          <w:szCs w:val="21"/>
          <w:highlight w:val="none"/>
        </w:rPr>
        <w:t xml:space="preserve">：</w:t>
      </w:r>
      <w:r>
        <w:rPr>
          <w:rFonts w:ascii="Microsoft New Tai Lue" w:hAnsi="Microsoft New Tai Lue" w:cs="Microsoft New Tai Lue"/>
          <w:color w:val="auto"/>
          <w:szCs w:val="21"/>
          <w:highlight w:val="none"/>
        </w:rPr>
        <w:t xml:space="preserve">30</w:t>
      </w:r>
      <w:r>
        <w:rPr>
          <w:rFonts w:hint="eastAsia" w:ascii="Microsoft New Tai Lue" w:hAnsi="Microsoft New Tai Lue" w:cs="宋体"/>
          <w:color w:val="auto"/>
          <w:szCs w:val="21"/>
          <w:highlight w:val="none"/>
        </w:rPr>
        <w:t xml:space="preserve">，下午</w:t>
      </w:r>
      <w:r>
        <w:rPr>
          <w:rFonts w:ascii="Microsoft New Tai Lue" w:hAnsi="Microsoft New Tai Lue" w:cs="Microsoft New Tai Lue"/>
          <w:color w:val="auto"/>
          <w:szCs w:val="21"/>
          <w:highlight w:val="none"/>
        </w:rPr>
        <w:t xml:space="preserve">14</w:t>
      </w:r>
      <w:r>
        <w:rPr>
          <w:rFonts w:hint="eastAsia" w:ascii="Microsoft New Tai Lue" w:hAnsi="Microsoft New Tai Lue" w:cs="宋体"/>
          <w:color w:val="auto"/>
          <w:szCs w:val="21"/>
          <w:highlight w:val="none"/>
        </w:rPr>
        <w:t xml:space="preserve">：</w:t>
      </w:r>
      <w:r>
        <w:rPr>
          <w:rFonts w:ascii="Microsoft New Tai Lue" w:hAnsi="Microsoft New Tai Lue" w:cs="Microsoft New Tai Lue"/>
          <w:color w:val="auto"/>
          <w:szCs w:val="21"/>
          <w:highlight w:val="none"/>
        </w:rPr>
        <w:t xml:space="preserve">00</w:t>
      </w:r>
      <w:r>
        <w:rPr>
          <w:rFonts w:hint="eastAsia" w:ascii="Microsoft New Tai Lue" w:hAnsi="Microsoft New Tai Lue" w:cs="宋体"/>
          <w:color w:val="auto"/>
          <w:szCs w:val="21"/>
          <w:highlight w:val="none"/>
        </w:rPr>
        <w:t xml:space="preserve">至</w:t>
      </w:r>
      <w:r>
        <w:rPr>
          <w:rFonts w:ascii="Microsoft New Tai Lue" w:hAnsi="Microsoft New Tai Lue" w:cs="Microsoft New Tai Lue"/>
          <w:color w:val="auto"/>
          <w:szCs w:val="21"/>
          <w:highlight w:val="none"/>
        </w:rPr>
        <w:t xml:space="preserve">17</w:t>
      </w:r>
      <w:r>
        <w:rPr>
          <w:rFonts w:hint="eastAsia" w:ascii="Microsoft New Tai Lue" w:hAnsi="Microsoft New Tai Lue" w:cs="宋体"/>
          <w:color w:val="auto"/>
          <w:szCs w:val="21"/>
          <w:highlight w:val="none"/>
        </w:rPr>
        <w:t xml:space="preserve">：</w:t>
      </w:r>
      <w:r>
        <w:rPr>
          <w:rFonts w:ascii="Microsoft New Tai Lue" w:hAnsi="Microsoft New Tai Lue" w:cs="Microsoft New Tai Lue"/>
          <w:color w:val="auto"/>
          <w:szCs w:val="21"/>
          <w:highlight w:val="none"/>
        </w:rPr>
        <w:t xml:space="preserve">00</w:t>
      </w:r>
      <w:r>
        <w:rPr>
          <w:rFonts w:hint="eastAsia" w:ascii="Microsoft New Tai Lue" w:hAnsi="Microsoft New Tai Lue" w:cs="宋体"/>
          <w:color w:val="auto"/>
          <w:szCs w:val="21"/>
          <w:highlight w:val="none"/>
        </w:rPr>
        <w:t xml:space="preserve">（北京时间，法定节假日除外）</w:t>
      </w:r>
      <w:r/>
      <w:r/>
      <w:r/>
    </w:p>
    <w:p>
      <w:pPr>
        <w:ind w:firstLine="525"/>
        <w:spacing w:line="360" w:lineRule="auto"/>
        <w:rPr>
          <w:rFonts w:ascii="Microsoft New Tai Lue" w:hAnsi="Microsoft New Tai Lue" w:cs="Microsoft New Tai Lue"/>
          <w:color w:val="auto"/>
          <w:szCs w:val="21"/>
          <w:highlight w:val="none"/>
        </w:rPr>
      </w:pPr>
      <w:r/>
      <w:bookmarkStart w:id="19" w:name="_Toc80792691"/>
      <w:r/>
      <w:bookmarkStart w:id="20" w:name="_Toc93909068"/>
      <w:r/>
      <w:bookmarkStart w:id="21" w:name="_Toc96347854"/>
      <w:r>
        <w:rPr>
          <w:rFonts w:hint="eastAsia" w:ascii="Microsoft New Tai Lue" w:hAnsi="Microsoft New Tai Lue" w:cs="宋体"/>
          <w:color w:val="auto"/>
          <w:szCs w:val="21"/>
          <w:highlight w:val="none"/>
        </w:rPr>
        <w:t xml:space="preserve">地点：苏采云政府采购一体化平台自行下载</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方式：线上获取</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售价：</w:t>
      </w:r>
      <w:r>
        <w:rPr>
          <w:rFonts w:ascii="Microsoft New Tai Lue" w:hAnsi="Microsoft New Tai Lue" w:cs="Microsoft New Tai Lue"/>
          <w:color w:val="auto"/>
          <w:szCs w:val="21"/>
          <w:highlight w:val="none"/>
        </w:rPr>
        <w:t xml:space="preserve">0</w:t>
      </w:r>
      <w:r>
        <w:rPr>
          <w:rFonts w:hint="eastAsia" w:ascii="Microsoft New Tai Lue" w:hAnsi="Microsoft New Tai Lue" w:cs="宋体"/>
          <w:color w:val="auto"/>
          <w:szCs w:val="21"/>
          <w:highlight w:val="none"/>
        </w:rPr>
        <w:t xml:space="preserve">元。</w:t>
      </w:r>
      <w:r/>
    </w:p>
    <w:p>
      <w:pPr>
        <w:ind w:firstLine="211"/>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宋体"/>
          <w:b/>
          <w:bCs/>
          <w:color w:val="auto"/>
          <w:szCs w:val="21"/>
          <w:highlight w:val="none"/>
        </w:rPr>
        <w:t xml:space="preserve">四、</w:t>
      </w:r>
      <w:bookmarkEnd w:id="18"/>
      <w:r/>
      <w:bookmarkEnd w:id="19"/>
      <w:r>
        <w:rPr>
          <w:rFonts w:hint="eastAsia" w:ascii="Microsoft New Tai Lue" w:hAnsi="Microsoft New Tai Lue" w:cs="宋体"/>
          <w:b/>
          <w:bCs/>
          <w:color w:val="auto"/>
          <w:szCs w:val="21"/>
          <w:highlight w:val="none"/>
        </w:rPr>
        <w:t xml:space="preserve">递交响应文件截止时间、开标时间和地点</w:t>
      </w:r>
      <w:bookmarkEnd w:id="20"/>
      <w:r/>
      <w:bookmarkEnd w:id="21"/>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202</w:t>
      </w:r>
      <w:r>
        <w:rPr>
          <w:rFonts w:hint="eastAsia" w:ascii="Microsoft New Tai Lue" w:hAnsi="Microsoft New Tai Lue" w:cs="Microsoft New Tai Lue"/>
          <w:color w:val="auto"/>
          <w:szCs w:val="21"/>
          <w:highlight w:val="none"/>
        </w:rPr>
        <w:t xml:space="preserve">5</w:t>
      </w:r>
      <w:r>
        <w:rPr>
          <w:rFonts w:hint="eastAsia" w:ascii="Microsoft New Tai Lue" w:hAnsi="Microsoft New Tai Lue" w:cs="宋体"/>
          <w:color w:val="auto"/>
          <w:szCs w:val="21"/>
          <w:highlight w:val="none"/>
        </w:rPr>
        <w:t xml:space="preserve">年</w:t>
      </w:r>
      <w:r>
        <w:rPr>
          <w:rFonts w:hint="eastAsia" w:ascii="Microsoft New Tai Lue" w:hAnsi="Microsoft New Tai Lue" w:cs="宋体"/>
          <w:color w:val="auto"/>
          <w:szCs w:val="21"/>
          <w:highlight w:val="none"/>
          <w:lang w:val="en-US" w:eastAsia="zh-CN"/>
        </w:rPr>
        <w:t xml:space="preserve">12</w:t>
      </w:r>
      <w:r>
        <w:rPr>
          <w:rFonts w:hint="eastAsia" w:ascii="Microsoft New Tai Lue" w:hAnsi="Microsoft New Tai Lue" w:cs="宋体"/>
          <w:color w:val="auto"/>
          <w:szCs w:val="21"/>
          <w:highlight w:val="none"/>
        </w:rPr>
        <w:t xml:space="preserve">月</w:t>
      </w:r>
      <w:r>
        <w:rPr>
          <w:rFonts w:hint="eastAsia" w:ascii="Microsoft New Tai Lue" w:hAnsi="Microsoft New Tai Lue" w:cs="宋体"/>
          <w:color w:val="auto"/>
          <w:szCs w:val="21"/>
          <w:highlight w:val="none"/>
          <w:lang w:val="en-US" w:eastAsia="zh-CN"/>
        </w:rPr>
        <w:t xml:space="preserve">2</w:t>
      </w:r>
      <w:r>
        <w:rPr>
          <w:rFonts w:hint="eastAsia" w:ascii="Microsoft New Tai Lue" w:hAnsi="Microsoft New Tai Lue" w:cs="宋体"/>
          <w:color w:val="auto"/>
          <w:szCs w:val="21"/>
          <w:highlight w:val="none"/>
          <w:lang w:val="en-US" w:eastAsia="zh-CN"/>
        </w:rPr>
        <w:t xml:space="preserve">3</w:t>
      </w:r>
      <w:r>
        <w:rPr>
          <w:rFonts w:hint="eastAsia" w:ascii="Microsoft New Tai Lue" w:hAnsi="Microsoft New Tai Lue" w:cs="宋体"/>
          <w:color w:val="auto"/>
          <w:szCs w:val="21"/>
          <w:highlight w:val="none"/>
          <w:lang w:val="en-US" w:eastAsia="zh-CN"/>
        </w:rPr>
        <w:t xml:space="preserve">日</w:t>
      </w:r>
      <w:r>
        <w:rPr>
          <w:rFonts w:ascii="Microsoft New Tai Lue" w:hAnsi="Microsoft New Tai Lue" w:cs="Microsoft New Tai Lue"/>
          <w:color w:val="auto"/>
          <w:szCs w:val="21"/>
          <w:highlight w:val="none"/>
        </w:rPr>
        <w:t xml:space="preserve">13</w:t>
      </w:r>
      <w:r>
        <w:rPr>
          <w:rFonts w:hint="eastAsia" w:ascii="Microsoft New Tai Lue" w:hAnsi="Microsoft New Tai Lue" w:cs="宋体"/>
          <w:color w:val="auto"/>
          <w:szCs w:val="21"/>
          <w:highlight w:val="none"/>
        </w:rPr>
        <w:t xml:space="preserve">：</w:t>
      </w:r>
      <w:r>
        <w:rPr>
          <w:rFonts w:ascii="Microsoft New Tai Lue" w:hAnsi="Microsoft New Tai Lue" w:cs="Microsoft New Tai Lue"/>
          <w:color w:val="auto"/>
          <w:szCs w:val="21"/>
          <w:highlight w:val="none"/>
        </w:rPr>
        <w:t xml:space="preserve">30</w:t>
      </w:r>
      <w:r>
        <w:rPr>
          <w:rFonts w:hint="eastAsia" w:ascii="Microsoft New Tai Lue" w:hAnsi="Microsoft New Tai Lue" w:cs="宋体"/>
          <w:color w:val="auto"/>
          <w:szCs w:val="21"/>
          <w:highlight w:val="none"/>
        </w:rPr>
        <w:t xml:space="preserve">（北京时间）</w:t>
      </w:r>
      <w:r/>
    </w:p>
    <w:p>
      <w:pPr>
        <w:ind w:firstLine="525"/>
        <w:spacing w:line="360" w:lineRule="auto"/>
        <w:rPr>
          <w:b/>
          <w:bCs/>
          <w:color w:val="auto"/>
          <w:szCs w:val="44"/>
          <w:highlight w:val="none"/>
        </w:rPr>
      </w:pPr>
      <w:r>
        <w:rPr>
          <w:rFonts w:hint="eastAsia" w:ascii="Microsoft New Tai Lue" w:hAnsi="Microsoft New Tai Lue" w:cs="宋体"/>
          <w:color w:val="auto"/>
          <w:szCs w:val="21"/>
          <w:highlight w:val="none"/>
        </w:rPr>
        <w:t xml:space="preserve">地点：苏采云系统</w:t>
      </w:r>
      <w:r/>
    </w:p>
    <w:p>
      <w:pPr>
        <w:ind w:firstLine="426"/>
        <w:spacing w:line="360" w:lineRule="auto"/>
        <w:rPr>
          <w:b/>
          <w:bCs/>
          <w:color w:val="auto"/>
          <w:szCs w:val="44"/>
          <w:highlight w:val="none"/>
        </w:rPr>
      </w:pPr>
      <w:r/>
      <w:bookmarkStart w:id="22" w:name="_Toc80792693"/>
      <w:r/>
      <w:bookmarkStart w:id="23" w:name="_Toc93909069"/>
      <w:r/>
      <w:bookmarkStart w:id="24" w:name="_Toc96347855"/>
      <w:r>
        <w:rPr>
          <w:b/>
          <w:bCs/>
          <w:color w:val="auto"/>
          <w:szCs w:val="44"/>
          <w:highlight w:val="none"/>
        </w:rPr>
        <w:t xml:space="preserve">五、</w:t>
      </w:r>
      <w:bookmarkEnd w:id="22"/>
      <w:r>
        <w:rPr>
          <w:b/>
          <w:bCs/>
          <w:color w:val="auto"/>
          <w:szCs w:val="44"/>
          <w:highlight w:val="none"/>
        </w:rPr>
        <w:t xml:space="preserve">公告期</w:t>
      </w:r>
      <w:bookmarkEnd w:id="23"/>
      <w:r/>
      <w:bookmarkEnd w:id="24"/>
      <w:r>
        <w:rPr>
          <w:b/>
          <w:bCs/>
          <w:color w:val="auto"/>
          <w:szCs w:val="44"/>
          <w:highlight w:val="none"/>
        </w:rPr>
        <w:t xml:space="preserve">限</w:t>
      </w:r>
      <w:r/>
    </w:p>
    <w:p>
      <w:pPr>
        <w:ind w:firstLine="525"/>
        <w:spacing w:line="360" w:lineRule="auto"/>
        <w:rPr>
          <w:color w:val="auto"/>
          <w:highlight w:val="none"/>
        </w:rPr>
      </w:pPr>
      <w:r>
        <w:rPr>
          <w:color w:val="auto"/>
          <w:highlight w:val="none"/>
        </w:rPr>
        <w:t xml:space="preserve">自本公告发布之日起5个工作日。</w:t>
      </w:r>
      <w:r/>
    </w:p>
    <w:p>
      <w:pPr>
        <w:ind w:firstLine="422"/>
        <w:spacing w:line="360" w:lineRule="auto"/>
        <w:rPr>
          <w:rFonts w:ascii="Microsoft New Tai Lue" w:hAnsi="Microsoft New Tai Lue" w:cs="Microsoft New Tai Lue"/>
          <w:b/>
          <w:bCs/>
          <w:color w:val="auto"/>
          <w:szCs w:val="21"/>
          <w:highlight w:val="none"/>
        </w:rPr>
      </w:pPr>
      <w:r/>
      <w:bookmarkStart w:id="25" w:name="_Toc96347856"/>
      <w:r/>
      <w:bookmarkStart w:id="26" w:name="_Toc93909070"/>
      <w:r>
        <w:rPr>
          <w:rFonts w:hint="eastAsia" w:ascii="Microsoft New Tai Lue" w:hAnsi="Microsoft New Tai Lue" w:cs="宋体"/>
          <w:b/>
          <w:bCs/>
          <w:color w:val="auto"/>
          <w:szCs w:val="21"/>
          <w:highlight w:val="none"/>
        </w:rPr>
        <w:t xml:space="preserve">六、其他补充事宜</w:t>
      </w:r>
      <w:bookmarkEnd w:id="25"/>
      <w:r/>
      <w:bookmarkEnd w:id="26"/>
      <w:r/>
      <w:r/>
    </w:p>
    <w:p>
      <w:pPr>
        <w:ind w:firstLine="420"/>
        <w:spacing w:line="360" w:lineRule="auto"/>
        <w:rPr>
          <w:rFonts w:ascii="Microsoft New Tai Lue" w:hAnsi="Microsoft New Tai Lue" w:cs="Microsoft New Tai Lue"/>
          <w:color w:val="auto"/>
          <w:szCs w:val="21"/>
          <w:highlight w:val="none"/>
        </w:rPr>
      </w:pPr>
      <w:r/>
      <w:bookmarkStart w:id="27" w:name="_Toc80792694"/>
      <w:r/>
      <w:bookmarkStart w:id="28" w:name="_Toc80264702"/>
      <w:r/>
      <w:bookmarkStart w:id="29" w:name="_Toc96347857"/>
      <w:r/>
      <w:bookmarkStart w:id="30" w:name="_Toc93909071"/>
      <w:r>
        <w:rPr>
          <w:rFonts w:ascii="Microsoft New Tai Lue" w:hAnsi="Microsoft New Tai Lue" w:cs="Microsoft New Tai Lue"/>
          <w:color w:val="auto"/>
          <w:szCs w:val="21"/>
          <w:highlight w:val="none"/>
        </w:rPr>
        <w:t xml:space="preserve">1</w:t>
      </w:r>
      <w:r>
        <w:rPr>
          <w:rFonts w:hint="eastAsia" w:ascii="Microsoft New Tai Lue" w:hAnsi="Microsoft New Tai Lue" w:cs="宋体"/>
          <w:color w:val="auto"/>
          <w:szCs w:val="21"/>
          <w:highlight w:val="none"/>
        </w:rPr>
        <w:t xml:space="preserve">．政府采购支持政策</w:t>
      </w:r>
      <w:r>
        <w:rPr>
          <w:rFonts w:ascii="Microsoft New Tai Lue" w:hAnsi="Microsoft New Tai Lue" w:cs="Microsoft New Tai Lue"/>
          <w:color w:val="auto"/>
          <w:szCs w:val="21"/>
          <w:highlight w:val="none"/>
        </w:rPr>
        <w:t xml:space="preserve">:</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（二）《关于进一步加大政府采购支持中小企业力度的通知》</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（三）《关于政府采购支持监狱企业发展有关问题的通知》</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（四）《关于促进残疾人就业政府采购政策的通知》</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（五）《关于调整优化节能产品、环境标志产品政府采购执行机制的通知》</w:t>
      </w:r>
      <w:r/>
    </w:p>
    <w:p>
      <w:pPr>
        <w:ind w:firstLine="420"/>
        <w:spacing w:line="360" w:lineRule="auto"/>
        <w:rPr>
          <w:rFonts w:ascii="Microsoft New Tai Lue" w:hAnsi="Microsoft New Tai Lue" w:eastAsia="Times New Roman"/>
          <w:color w:val="auto"/>
          <w:szCs w:val="21"/>
          <w:highlight w:val="none"/>
        </w:rPr>
      </w:pPr>
      <w:r>
        <w:rPr>
          <w:rFonts w:ascii="Microsoft New Tai Lue" w:hAnsi="Microsoft New Tai Lue" w:eastAsia="Times New Roman"/>
          <w:color w:val="auto"/>
          <w:szCs w:val="21"/>
          <w:highlight w:val="none"/>
        </w:rPr>
        <w:t xml:space="preserve">2.CA</w:t>
      </w:r>
      <w:r>
        <w:rPr>
          <w:rFonts w:hint="eastAsia" w:ascii="Microsoft New Tai Lue" w:hAnsi="Microsoft New Tai Lue" w:cs="宋体"/>
          <w:color w:val="auto"/>
          <w:szCs w:val="21"/>
          <w:highlight w:val="none"/>
        </w:rPr>
        <w:t xml:space="preserve">证书办理</w:t>
      </w:r>
      <w:r/>
    </w:p>
    <w:p>
      <w:pPr>
        <w:ind w:firstLine="420"/>
        <w:spacing w:line="360" w:lineRule="auto"/>
        <w:rPr>
          <w:rFonts w:ascii="Microsoft New Tai Lue" w:hAnsi="Microsoft New Tai Lue" w:eastAsia="Times New Roman"/>
          <w:color w:val="auto"/>
          <w:szCs w:val="21"/>
          <w:highlight w:val="none"/>
        </w:rPr>
      </w:pPr>
      <w:r>
        <w:rPr>
          <w:rFonts w:hint="eastAsia" w:ascii="Microsoft New Tai Lue" w:hAnsi="Microsoft New Tai Lue" w:cs="宋体"/>
          <w:color w:val="auto"/>
          <w:szCs w:val="21"/>
          <w:highlight w:val="none"/>
        </w:rPr>
        <w:t xml:space="preserve">供应商参与政府采购活动需办理江苏省电子政务证书认证中心</w:t>
      </w:r>
      <w:r>
        <w:rPr>
          <w:rFonts w:ascii="Microsoft New Tai Lue" w:hAnsi="Microsoft New Tai Lue" w:eastAsia="Times New Roman"/>
          <w:color w:val="auto"/>
          <w:szCs w:val="21"/>
          <w:highlight w:val="none"/>
        </w:rPr>
        <w:t xml:space="preserve">CA</w:t>
      </w:r>
      <w:r>
        <w:rPr>
          <w:rFonts w:hint="eastAsia" w:ascii="Microsoft New Tai Lue" w:hAnsi="Microsoft New Tai Lue" w:cs="宋体"/>
          <w:color w:val="auto"/>
          <w:szCs w:val="21"/>
          <w:highlight w:val="none"/>
        </w:rPr>
        <w:t xml:space="preserve">证书和方正国际软件（北京）有限公司电子签章。</w:t>
      </w:r>
      <w:r>
        <w:rPr>
          <w:rFonts w:ascii="Microsoft New Tai Lue" w:hAnsi="Microsoft New Tai Lue" w:eastAsia="Times New Roman"/>
          <w:color w:val="auto"/>
          <w:szCs w:val="21"/>
          <w:highlight w:val="none"/>
        </w:rPr>
        <w:t xml:space="preserve">CA</w:t>
      </w:r>
      <w:r>
        <w:rPr>
          <w:rFonts w:hint="eastAsia" w:ascii="Microsoft New Tai Lue" w:hAnsi="Microsoft New Tai Lue" w:cs="宋体"/>
          <w:color w:val="auto"/>
          <w:szCs w:val="21"/>
          <w:highlight w:val="none"/>
        </w:rPr>
        <w:t xml:space="preserve">证书及电子签章的办理方法详见苏州市政府采购网―法规政策―《转发省财政厅关于更换全省政府采购交易系统</w:t>
      </w:r>
      <w:r>
        <w:rPr>
          <w:rFonts w:ascii="Microsoft New Tai Lue" w:hAnsi="Microsoft New Tai Lue" w:eastAsia="Times New Roman"/>
          <w:color w:val="auto"/>
          <w:szCs w:val="21"/>
          <w:highlight w:val="none"/>
        </w:rPr>
        <w:t xml:space="preserve">CA</w:t>
      </w:r>
      <w:r>
        <w:rPr>
          <w:rFonts w:hint="eastAsia" w:ascii="Microsoft New Tai Lue" w:hAnsi="Microsoft New Tai Lue" w:cs="宋体"/>
          <w:color w:val="auto"/>
          <w:szCs w:val="21"/>
          <w:highlight w:val="none"/>
        </w:rPr>
        <w:t xml:space="preserve">数字证书和电子签章的通知》或者“苏采云”系统登录界面中的“新</w:t>
      </w:r>
      <w:r>
        <w:rPr>
          <w:rFonts w:ascii="Microsoft New Tai Lue" w:hAnsi="Microsoft New Tai Lue" w:eastAsia="Times New Roman"/>
          <w:color w:val="auto"/>
          <w:szCs w:val="21"/>
          <w:highlight w:val="none"/>
        </w:rPr>
        <w:t xml:space="preserve">CA</w:t>
      </w:r>
      <w:r>
        <w:rPr>
          <w:rFonts w:hint="eastAsia" w:ascii="Microsoft New Tai Lue" w:hAnsi="Microsoft New Tai Lue" w:cs="宋体"/>
          <w:color w:val="auto"/>
          <w:szCs w:val="21"/>
          <w:highlight w:val="none"/>
        </w:rPr>
        <w:t xml:space="preserve">办理指南”。“苏采云”系统目前仅支持“苏采云”系统下的政务</w:t>
      </w:r>
      <w:r>
        <w:rPr>
          <w:rFonts w:ascii="Microsoft New Tai Lue" w:hAnsi="Microsoft New Tai Lue" w:eastAsia="Times New Roman"/>
          <w:color w:val="auto"/>
          <w:szCs w:val="21"/>
          <w:highlight w:val="none"/>
        </w:rPr>
        <w:t xml:space="preserve">CA</w:t>
      </w:r>
      <w:r>
        <w:rPr>
          <w:rFonts w:hint="eastAsia" w:ascii="Microsoft New Tai Lue" w:hAnsi="Microsoft New Tai Lue" w:cs="宋体"/>
          <w:color w:val="auto"/>
          <w:szCs w:val="21"/>
          <w:highlight w:val="none"/>
        </w:rPr>
        <w:t xml:space="preserve">证书，江苏省内各地区办理的“苏采云”系统下的政务</w:t>
      </w:r>
      <w:r>
        <w:rPr>
          <w:rFonts w:ascii="Microsoft New Tai Lue" w:hAnsi="Microsoft New Tai Lue" w:eastAsia="Times New Roman"/>
          <w:color w:val="auto"/>
          <w:szCs w:val="21"/>
          <w:highlight w:val="none"/>
        </w:rPr>
        <w:t xml:space="preserve">CA</w:t>
      </w:r>
      <w:r>
        <w:rPr>
          <w:rFonts w:hint="eastAsia" w:ascii="Microsoft New Tai Lue" w:hAnsi="Microsoft New Tai Lue" w:cs="宋体"/>
          <w:color w:val="auto"/>
          <w:szCs w:val="21"/>
          <w:highlight w:val="none"/>
        </w:rPr>
        <w:t xml:space="preserve">证书全省通用。苏州现场办理地址：苏州市姑苏区平泷路</w:t>
      </w:r>
      <w:r>
        <w:rPr>
          <w:rFonts w:ascii="Microsoft New Tai Lue" w:hAnsi="Microsoft New Tai Lue" w:eastAsia="Times New Roman"/>
          <w:color w:val="auto"/>
          <w:szCs w:val="21"/>
          <w:highlight w:val="none"/>
        </w:rPr>
        <w:t xml:space="preserve">251</w:t>
      </w:r>
      <w:r>
        <w:rPr>
          <w:rFonts w:hint="eastAsia" w:ascii="Microsoft New Tai Lue" w:hAnsi="Microsoft New Tai Lue" w:cs="宋体"/>
          <w:color w:val="auto"/>
          <w:szCs w:val="21"/>
          <w:highlight w:val="none"/>
        </w:rPr>
        <w:t xml:space="preserve">号政务服务中心</w:t>
      </w:r>
      <w:r>
        <w:rPr>
          <w:rFonts w:ascii="Microsoft New Tai Lue" w:hAnsi="Microsoft New Tai Lue" w:eastAsia="Times New Roman"/>
          <w:color w:val="auto"/>
          <w:szCs w:val="21"/>
          <w:highlight w:val="none"/>
        </w:rPr>
        <w:t xml:space="preserve">4</w:t>
      </w:r>
      <w:r>
        <w:rPr>
          <w:rFonts w:hint="eastAsia" w:ascii="Microsoft New Tai Lue" w:hAnsi="Microsoft New Tai Lue" w:cs="宋体"/>
          <w:color w:val="auto"/>
          <w:szCs w:val="21"/>
          <w:highlight w:val="none"/>
        </w:rPr>
        <w:t xml:space="preserve">楼公共交易中心窗口，咨询电话：</w:t>
      </w:r>
      <w:r>
        <w:rPr>
          <w:rFonts w:ascii="Microsoft New Tai Lue" w:hAnsi="Microsoft New Tai Lue" w:eastAsia="Times New Roman"/>
          <w:color w:val="auto"/>
          <w:szCs w:val="21"/>
          <w:highlight w:val="none"/>
        </w:rPr>
        <w:t xml:space="preserve">0512-69820834</w:t>
      </w:r>
      <w:r>
        <w:rPr>
          <w:rFonts w:hint="eastAsia" w:ascii="Microsoft New Tai Lue" w:hAnsi="Microsoft New Tai Lue" w:cs="宋体"/>
          <w:color w:val="auto"/>
          <w:szCs w:val="21"/>
          <w:highlight w:val="none"/>
        </w:rPr>
        <w:t xml:space="preserve">。</w:t>
      </w:r>
      <w:r/>
    </w:p>
    <w:p>
      <w:pPr>
        <w:ind w:firstLine="420"/>
        <w:spacing w:line="360" w:lineRule="auto"/>
        <w:rPr>
          <w:rFonts w:ascii="Microsoft New Tai Lue" w:hAnsi="Microsoft New Tai Lue" w:eastAsia="Times New Roman"/>
          <w:color w:val="auto"/>
          <w:szCs w:val="21"/>
          <w:highlight w:val="none"/>
        </w:rPr>
      </w:pPr>
      <w:r>
        <w:rPr>
          <w:rFonts w:ascii="Microsoft New Tai Lue" w:hAnsi="Microsoft New Tai Lue" w:eastAsia="Times New Roman"/>
          <w:color w:val="auto"/>
          <w:szCs w:val="21"/>
          <w:highlight w:val="none"/>
        </w:rPr>
        <w:t xml:space="preserve">3.</w:t>
      </w:r>
      <w:r>
        <w:rPr>
          <w:rFonts w:hint="eastAsia" w:ascii="Microsoft New Tai Lue" w:hAnsi="Microsoft New Tai Lue" w:cs="宋体"/>
          <w:color w:val="auto"/>
          <w:szCs w:val="21"/>
          <w:highlight w:val="none"/>
        </w:rPr>
        <w:t xml:space="preserve">参与采购活动</w:t>
      </w:r>
      <w:r/>
    </w:p>
    <w:p>
      <w:pPr>
        <w:ind w:firstLine="420"/>
        <w:spacing w:line="360" w:lineRule="auto"/>
        <w:rPr>
          <w:rFonts w:ascii="Microsoft New Tai Lue" w:hAnsi="Microsoft New Tai Lue" w:eastAsia="Times New Roman"/>
          <w:color w:val="auto"/>
          <w:szCs w:val="21"/>
          <w:highlight w:val="none"/>
        </w:rPr>
      </w:pPr>
      <w:r>
        <w:rPr>
          <w:rFonts w:hint="eastAsia" w:ascii="Microsoft New Tai Lue" w:hAnsi="Microsoft New Tai Lue" w:cs="宋体"/>
          <w:color w:val="auto"/>
          <w:szCs w:val="21"/>
          <w:highlight w:val="none"/>
        </w:rPr>
        <w:t xml:space="preserve">供应商插入</w:t>
      </w:r>
      <w:r>
        <w:rPr>
          <w:rFonts w:ascii="Microsoft New Tai Lue" w:hAnsi="Microsoft New Tai Lue" w:eastAsia="Times New Roman"/>
          <w:color w:val="auto"/>
          <w:szCs w:val="21"/>
          <w:highlight w:val="none"/>
        </w:rPr>
        <w:t xml:space="preserve">CA</w:t>
      </w:r>
      <w:r>
        <w:rPr>
          <w:rFonts w:hint="eastAsia" w:ascii="Microsoft New Tai Lue" w:hAnsi="Microsoft New Tai Lue" w:cs="宋体"/>
          <w:color w:val="auto"/>
          <w:szCs w:val="21"/>
          <w:highlight w:val="none"/>
        </w:rPr>
        <w:t xml:space="preserve">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ascii="Microsoft New Tai Lue" w:hAnsi="Microsoft New Tai Lue" w:eastAsia="Times New Roman"/>
          <w:color w:val="auto"/>
          <w:szCs w:val="21"/>
          <w:highlight w:val="none"/>
        </w:rPr>
      </w:pPr>
      <w:r>
        <w:rPr>
          <w:rFonts w:ascii="Microsoft New Tai Lue" w:hAnsi="Microsoft New Tai Lue" w:eastAsia="Times New Roman"/>
          <w:color w:val="auto"/>
          <w:szCs w:val="21"/>
          <w:highlight w:val="none"/>
        </w:rPr>
        <w:t xml:space="preserve">4.</w:t>
      </w:r>
      <w:r>
        <w:rPr>
          <w:rFonts w:hint="eastAsia" w:ascii="Microsoft New Tai Lue" w:hAnsi="Microsoft New Tai Lue" w:cs="宋体"/>
          <w:color w:val="auto"/>
          <w:szCs w:val="21"/>
          <w:highlight w:val="none"/>
        </w:rPr>
        <w:t xml:space="preserve">电子投标准备</w:t>
      </w:r>
      <w:r/>
    </w:p>
    <w:p>
      <w:pPr>
        <w:ind w:firstLine="420"/>
        <w:spacing w:line="360" w:lineRule="auto"/>
        <w:rPr>
          <w:rFonts w:ascii="Microsoft New Tai Lue" w:hAnsi="Microsoft New Tai Lue" w:eastAsia="Times New Roman"/>
          <w:color w:val="auto"/>
          <w:szCs w:val="21"/>
          <w:highlight w:val="none"/>
        </w:rPr>
      </w:pPr>
      <w:r>
        <w:rPr>
          <w:rFonts w:hint="eastAsia" w:ascii="Microsoft New Tai Lue" w:hAnsi="Microsoft New Tai Lue" w:cs="宋体"/>
          <w:color w:val="auto"/>
          <w:szCs w:val="21"/>
          <w:highlight w:val="none"/>
        </w:rPr>
        <w:t xml:space="preserve">供应商在“苏采云”系统中操作成功参与项目后，必须在“已参与项目”界面中下载电子招标文件（后缀名为“</w:t>
      </w:r>
      <w:r>
        <w:rPr>
          <w:rFonts w:ascii="Microsoft New Tai Lue" w:hAnsi="Microsoft New Tai Lue" w:eastAsia="Times New Roman"/>
          <w:color w:val="auto"/>
          <w:szCs w:val="21"/>
          <w:highlight w:val="none"/>
        </w:rPr>
        <w:t xml:space="preserve">.kedt</w:t>
      </w:r>
      <w:r>
        <w:rPr>
          <w:rFonts w:hint="eastAsia" w:ascii="Microsoft New Tai Lue" w:hAnsi="Microsoft New Tai Lue" w:cs="宋体"/>
          <w:color w:val="auto"/>
          <w:szCs w:val="21"/>
          <w:highlight w:val="none"/>
        </w:rPr>
        <w:t xml:space="preserve">”）并导入政府采购客户端工具后方可进行投标文件制作和提交（具体详见《苏采云系统供应商操作手册》，网址链接</w:t>
      </w:r>
      <w:r>
        <w:rPr>
          <w:rFonts w:ascii="Microsoft New Tai Lue" w:hAnsi="Microsoft New Tai Lue" w:eastAsia="Times New Roman"/>
          <w:color w:val="auto"/>
          <w:szCs w:val="21"/>
          <w:highlight w:val="none"/>
        </w:rPr>
        <w:t xml:space="preserve">https://czju.suzhou.gov.cn/zfcg/html/content/20231220161910031.shtml</w:t>
      </w:r>
      <w:r>
        <w:rPr>
          <w:rFonts w:hint="eastAsia" w:ascii="Microsoft New Tai Lue" w:hAnsi="Microsoft New Tai Lue" w:cs="宋体"/>
          <w:color w:val="auto"/>
          <w:szCs w:val="21"/>
          <w:highlight w:val="none"/>
        </w:rPr>
        <w:t xml:space="preserve">）。</w:t>
      </w:r>
      <w:r/>
    </w:p>
    <w:p>
      <w:pPr>
        <w:ind w:firstLine="420"/>
        <w:spacing w:line="360" w:lineRule="auto"/>
        <w:rPr>
          <w:rFonts w:ascii="Microsoft New Tai Lue" w:hAnsi="Microsoft New Tai Lue" w:eastAsia="Times New Roman"/>
          <w:color w:val="auto"/>
          <w:szCs w:val="21"/>
          <w:highlight w:val="none"/>
        </w:rPr>
      </w:pPr>
      <w:r>
        <w:rPr>
          <w:rFonts w:ascii="Microsoft New Tai Lue" w:hAnsi="Microsoft New Tai Lue" w:eastAsia="Times New Roman"/>
          <w:color w:val="auto"/>
          <w:szCs w:val="21"/>
          <w:highlight w:val="none"/>
        </w:rPr>
        <w:t xml:space="preserve">5.</w:t>
      </w:r>
      <w:r>
        <w:rPr>
          <w:rFonts w:hint="eastAsia" w:ascii="Microsoft New Tai Lue" w:hAnsi="Microsoft New Tai Lue" w:cs="宋体"/>
          <w:color w:val="auto"/>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Microsoft New Tai Lue" w:hAnsi="Microsoft New Tai Lue" w:eastAsia="Times New Roman"/>
          <w:color w:val="auto"/>
          <w:szCs w:val="21"/>
          <w:highlight w:val="none"/>
        </w:rPr>
      </w:pPr>
      <w:r>
        <w:rPr>
          <w:rFonts w:ascii="Microsoft New Tai Lue" w:hAnsi="Microsoft New Tai Lue" w:eastAsia="Times New Roman"/>
          <w:color w:val="auto"/>
          <w:szCs w:val="21"/>
          <w:highlight w:val="none"/>
        </w:rPr>
        <w:t xml:space="preserve">6.</w:t>
      </w:r>
      <w:r>
        <w:rPr>
          <w:rFonts w:hint="eastAsia" w:ascii="Microsoft New Tai Lue" w:hAnsi="Microsoft New Tai Lue" w:cs="宋体"/>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ascii="Microsoft New Tai Lue" w:hAnsi="Microsoft New Tai Lue" w:eastAsia="Times New Roman"/>
          <w:color w:val="auto"/>
          <w:szCs w:val="21"/>
          <w:highlight w:val="none"/>
        </w:rPr>
        <w:t xml:space="preserve">CA</w:t>
      </w:r>
      <w:r>
        <w:rPr>
          <w:rFonts w:hint="eastAsia" w:ascii="Microsoft New Tai Lue" w:hAnsi="Microsoft New Tai Lue" w:cs="宋体"/>
          <w:color w:val="auto"/>
          <w:szCs w:val="21"/>
          <w:highlight w:val="none"/>
        </w:rPr>
        <w:t xml:space="preserve">证书解密电子投标文件，如在系统规定的解密时间内未能完成解密的视为放弃投标。</w:t>
      </w:r>
      <w:r/>
    </w:p>
    <w:p>
      <w:pPr>
        <w:ind w:firstLine="420"/>
        <w:spacing w:line="360" w:lineRule="auto"/>
        <w:rPr>
          <w:color w:val="auto"/>
          <w:szCs w:val="21"/>
          <w:highlight w:val="none"/>
        </w:rPr>
      </w:pPr>
      <w:r>
        <w:rPr>
          <w:rFonts w:hint="eastAsia" w:ascii="Microsoft New Tai Lue" w:hAnsi="Microsoft New Tai Lue" w:cs="宋体"/>
          <w:color w:val="auto"/>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宋体"/>
          <w:b/>
          <w:bCs/>
          <w:color w:val="auto"/>
          <w:szCs w:val="21"/>
          <w:highlight w:val="none"/>
        </w:rPr>
        <w:t xml:space="preserve">七、</w:t>
      </w:r>
      <w:bookmarkEnd w:id="27"/>
      <w:r/>
      <w:bookmarkEnd w:id="28"/>
      <w:r>
        <w:rPr>
          <w:rFonts w:hint="eastAsia" w:ascii="Microsoft New Tai Lue" w:hAnsi="Microsoft New Tai Lue" w:cs="宋体"/>
          <w:b/>
          <w:bCs/>
          <w:color w:val="auto"/>
          <w:szCs w:val="21"/>
          <w:highlight w:val="none"/>
        </w:rPr>
        <w:t xml:space="preserve">对本次招标提出询问，请按以下方式联系。</w:t>
      </w:r>
      <w:bookmarkEnd w:id="29"/>
      <w:r/>
      <w:bookmarkEnd w:id="30"/>
      <w:r/>
      <w:r/>
    </w:p>
    <w:p>
      <w:pPr>
        <w:ind w:firstLine="525"/>
        <w:spacing w:line="360" w:lineRule="auto"/>
        <w:rPr>
          <w:rFonts w:ascii="Microsoft New Tai Lue" w:hAnsi="Microsoft New Tai Lue" w:cs="Microsoft New Tai Lue"/>
          <w:color w:val="auto"/>
          <w:szCs w:val="21"/>
          <w:highlight w:val="none"/>
        </w:rPr>
      </w:pPr>
      <w:r/>
      <w:bookmarkStart w:id="31" w:name="_Toc28359085"/>
      <w:r>
        <w:rPr>
          <w:rFonts w:ascii="Microsoft New Tai Lue" w:hAnsi="Microsoft New Tai Lue" w:cs="Microsoft New Tai Lue"/>
          <w:color w:val="auto"/>
          <w:szCs w:val="21"/>
          <w:highlight w:val="none"/>
        </w:rPr>
        <w:t xml:space="preserve">1</w:t>
      </w:r>
      <w:r>
        <w:rPr>
          <w:rFonts w:hint="eastAsia" w:ascii="Microsoft New Tai Lue" w:hAnsi="Microsoft New Tai Lue" w:cs="宋体"/>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名称：苏州城市学院</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地址：苏州市吴中区吴中大道</w:t>
      </w:r>
      <w:r>
        <w:rPr>
          <w:rFonts w:ascii="Microsoft New Tai Lue" w:hAnsi="Microsoft New Tai Lue" w:cs="Microsoft New Tai Lue"/>
          <w:color w:val="auto"/>
          <w:szCs w:val="21"/>
          <w:highlight w:val="none"/>
        </w:rPr>
        <w:t xml:space="preserve">1188</w:t>
      </w:r>
      <w:r>
        <w:rPr>
          <w:rFonts w:hint="eastAsia" w:ascii="Microsoft New Tai Lue" w:hAnsi="Microsoft New Tai Lue" w:cs="宋体"/>
          <w:color w:val="auto"/>
          <w:szCs w:val="21"/>
          <w:highlight w:val="none"/>
        </w:rPr>
        <w:t xml:space="preserve">号</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联系人：王老师(技术联系人）、戴老师（招标联系人）</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联系方式：</w:t>
      </w:r>
      <w:r>
        <w:rPr>
          <w:rFonts w:hint="eastAsia" w:ascii="Microsoft New Tai Lue" w:hAnsi="Microsoft New Tai Lue" w:cs="Microsoft New Tai Lue"/>
          <w:color w:val="auto"/>
          <w:szCs w:val="21"/>
          <w:highlight w:val="none"/>
        </w:rPr>
        <w:t xml:space="preserve">0512-66554607、0512-</w:t>
      </w:r>
      <w:r>
        <w:rPr>
          <w:rFonts w:ascii="Microsoft New Tai Lue" w:hAnsi="Microsoft New Tai Lue" w:cs="Microsoft New Tai Lue"/>
          <w:color w:val="auto"/>
          <w:szCs w:val="21"/>
          <w:highlight w:val="none"/>
        </w:rPr>
        <w:t xml:space="preserve">66550568</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hint="eastAsia" w:ascii="Microsoft New Tai Lue" w:hAnsi="Microsoft New Tai Lue" w:cs="宋体"/>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名称：江苏省招标中心有限公司</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地址：南京市郑和中路</w:t>
      </w:r>
      <w:r>
        <w:rPr>
          <w:rFonts w:ascii="Microsoft New Tai Lue" w:hAnsi="Microsoft New Tai Lue" w:cs="Microsoft New Tai Lue"/>
          <w:color w:val="auto"/>
          <w:szCs w:val="21"/>
          <w:highlight w:val="none"/>
        </w:rPr>
        <w:t xml:space="preserve">118</w:t>
      </w:r>
      <w:r>
        <w:rPr>
          <w:rFonts w:hint="eastAsia" w:ascii="Microsoft New Tai Lue" w:hAnsi="Microsoft New Tai Lue" w:cs="宋体"/>
          <w:color w:val="auto"/>
          <w:szCs w:val="21"/>
          <w:highlight w:val="none"/>
        </w:rPr>
        <w:t xml:space="preserve">号（南京长江国际航运中心）</w:t>
      </w:r>
      <w:r>
        <w:rPr>
          <w:rFonts w:ascii="Microsoft New Tai Lue" w:hAnsi="Microsoft New Tai Lue" w:cs="Microsoft New Tai Lue"/>
          <w:color w:val="auto"/>
          <w:szCs w:val="21"/>
          <w:highlight w:val="none"/>
        </w:rPr>
        <w:t xml:space="preserve">D</w:t>
      </w:r>
      <w:r>
        <w:rPr>
          <w:rFonts w:hint="eastAsia" w:ascii="Microsoft New Tai Lue" w:hAnsi="Microsoft New Tai Lue" w:cs="宋体"/>
          <w:color w:val="auto"/>
          <w:szCs w:val="21"/>
          <w:highlight w:val="none"/>
        </w:rPr>
        <w:t xml:space="preserve">座</w:t>
      </w:r>
      <w:r>
        <w:rPr>
          <w:rFonts w:ascii="Microsoft New Tai Lue" w:hAnsi="Microsoft New Tai Lue" w:cs="Microsoft New Tai Lue"/>
          <w:color w:val="auto"/>
          <w:szCs w:val="21"/>
          <w:highlight w:val="none"/>
        </w:rPr>
        <w:t xml:space="preserve">1412</w:t>
      </w:r>
      <w:r>
        <w:rPr>
          <w:rFonts w:hint="eastAsia" w:ascii="Microsoft New Tai Lue" w:hAnsi="Microsoft New Tai Lue" w:cs="宋体"/>
          <w:color w:val="auto"/>
          <w:szCs w:val="21"/>
          <w:highlight w:val="none"/>
        </w:rPr>
        <w:t xml:space="preserve">室</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联系人：张璐、史平华</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联系方式：</w:t>
      </w:r>
      <w:r>
        <w:rPr>
          <w:rFonts w:ascii="Microsoft New Tai Lue" w:hAnsi="Microsoft New Tai Lue" w:cs="Microsoft New Tai Lue"/>
          <w:color w:val="auto"/>
          <w:szCs w:val="21"/>
          <w:highlight w:val="none"/>
        </w:rPr>
        <w:t xml:space="preserve">15605215397</w:t>
      </w:r>
      <w:r>
        <w:rPr>
          <w:rFonts w:hint="eastAsia" w:ascii="Microsoft New Tai Lue" w:hAnsi="Microsoft New Tai Lue" w:cs="宋体"/>
          <w:color w:val="auto"/>
          <w:szCs w:val="21"/>
          <w:highlight w:val="none"/>
        </w:rPr>
        <w:t xml:space="preserve">、</w:t>
      </w:r>
      <w:r>
        <w:rPr>
          <w:rFonts w:ascii="Microsoft New Tai Lue" w:hAnsi="Microsoft New Tai Lue" w:cs="Microsoft New Tai Lue"/>
          <w:color w:val="auto"/>
          <w:szCs w:val="21"/>
          <w:highlight w:val="none"/>
        </w:rPr>
        <w:t xml:space="preserve">15951799162</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hint="eastAsia" w:ascii="Microsoft New Tai Lue" w:hAnsi="Microsoft New Tai Lue" w:cs="宋体"/>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项目联系人：张璐、史平华</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电话：</w:t>
      </w:r>
      <w:r>
        <w:rPr>
          <w:rFonts w:ascii="Microsoft New Tai Lue" w:hAnsi="Microsoft New Tai Lue" w:cs="Microsoft New Tai Lue"/>
          <w:color w:val="auto"/>
          <w:szCs w:val="21"/>
          <w:highlight w:val="none"/>
        </w:rPr>
        <w:t xml:space="preserve">1</w:t>
      </w:r>
      <w:bookmarkEnd w:id="31"/>
      <w:r>
        <w:rPr>
          <w:rFonts w:ascii="Microsoft New Tai Lue" w:hAnsi="Microsoft New Tai Lue" w:cs="Microsoft New Tai Lue"/>
          <w:color w:val="auto"/>
          <w:szCs w:val="21"/>
          <w:highlight w:val="none"/>
        </w:rPr>
        <w:t xml:space="preserve">5605215397</w:t>
      </w:r>
      <w:r>
        <w:rPr>
          <w:rFonts w:hint="eastAsia" w:ascii="Microsoft New Tai Lue" w:hAnsi="Microsoft New Tai Lue" w:cs="宋体"/>
          <w:color w:val="auto"/>
          <w:szCs w:val="21"/>
          <w:highlight w:val="none"/>
        </w:rPr>
        <w:t xml:space="preserve">、</w:t>
      </w:r>
      <w:r>
        <w:rPr>
          <w:rFonts w:ascii="Microsoft New Tai Lue" w:hAnsi="Microsoft New Tai Lue" w:cs="Microsoft New Tai Lue"/>
          <w:color w:val="auto"/>
          <w:szCs w:val="21"/>
          <w:highlight w:val="none"/>
        </w:rPr>
        <w:t xml:space="preserve">15951799162</w:t>
      </w:r>
      <w:r/>
    </w:p>
    <w:p>
      <w:pPr>
        <w:rPr>
          <w:color w:val="auto"/>
          <w:highlight w:val="none"/>
        </w:rPr>
      </w:pPr>
      <w:r>
        <w:rPr>
          <w:color w:val="auto"/>
          <w:highlight w:val="none"/>
        </w:rPr>
      </w:r>
      <w:r/>
    </w:p>
    <w:p>
      <w:pPr>
        <w:pStyle w:val="906"/>
        <w:ind w:left="1125" w:firstLine="1928"/>
        <w:jc w:val="both"/>
        <w:spacing w:before="156" w:after="156"/>
        <w:rPr>
          <w:rFonts w:ascii="Times New Roman" w:hAnsi="Times New Roman"/>
          <w:color w:val="auto"/>
          <w:highlight w:val="none"/>
        </w:rPr>
      </w:pPr>
      <w:r>
        <w:rPr>
          <w:rFonts w:ascii="Times New Roman" w:hAnsi="Times New Roman"/>
          <w:color w:val="auto"/>
          <w:highlight w:val="none"/>
        </w:rPr>
        <w:br w:type="page" w:clear="all"/>
      </w:r>
      <w:bookmarkEnd w:id="6"/>
      <w:r/>
      <w:bookmarkStart w:id="32" w:name="_Toc107246212"/>
      <w:r/>
      <w:bookmarkStart w:id="33" w:name="_Toc157070966"/>
      <w:r>
        <w:rPr>
          <w:rFonts w:ascii="Times New Roman" w:hAnsi="Times New Roman"/>
          <w:color w:val="auto"/>
          <w:highlight w:val="none"/>
        </w:rPr>
        <w:t xml:space="preserve">第二章  投标人须知</w:t>
      </w:r>
      <w:bookmarkEnd w:id="7"/>
      <w:r/>
      <w:bookmarkEnd w:id="32"/>
      <w:r/>
      <w:bookmarkEnd w:id="33"/>
      <w:r/>
      <w:r/>
    </w:p>
    <w:p>
      <w:pPr>
        <w:ind w:firstLine="649"/>
        <w:jc w:val="center"/>
        <w:rPr>
          <w:b/>
          <w:bCs/>
          <w:color w:val="auto"/>
          <w:sz w:val="32"/>
          <w:szCs w:val="32"/>
          <w:highlight w:val="none"/>
        </w:rPr>
      </w:pPr>
      <w:r>
        <w:rPr>
          <w:b/>
          <w:bCs/>
          <w:color w:val="auto"/>
          <w:sz w:val="32"/>
          <w:szCs w:val="32"/>
          <w:highlight w:val="none"/>
        </w:rPr>
        <w:t xml:space="preserve">投标人须知前附表</w:t>
      </w:r>
      <w:r/>
    </w:p>
    <w:p>
      <w:pPr>
        <w:jc w:val="center"/>
        <w:rPr>
          <w:color w:val="auto"/>
          <w:highlight w:val="none"/>
        </w:rPr>
      </w:pPr>
      <w:r>
        <w:rPr>
          <w:color w:val="auto"/>
          <w:highlight w:val="none"/>
        </w:rPr>
        <w:t xml:space="preserve">本表是对《投标人须知》正文的具体补充和修改，如有矛盾，以本《前附表》为准。</w:t>
      </w:r>
      <w:r/>
    </w:p>
    <w:p>
      <w:pPr>
        <w:jc w:val="center"/>
        <w:rPr>
          <w:color w:val="auto"/>
          <w:highlight w:val="none"/>
        </w:rPr>
      </w:pPr>
      <w:r>
        <w:rPr>
          <w:color w:val="auto"/>
          <w:highlight w:val="none"/>
        </w:rPr>
        <w:t xml:space="preserve">标记“</w:t>
      </w:r>
      <w:r>
        <w:rPr>
          <w:b/>
          <w:color w:val="auto"/>
          <w:sz w:val="24"/>
          <w:highlight w:val="none"/>
        </w:rPr>
        <w:t xml:space="preserve">■</w:t>
      </w:r>
      <w:r>
        <w:rPr>
          <w:color w:val="auto"/>
          <w:highlight w:val="none"/>
        </w:rPr>
        <w:t xml:space="preserve">”的选项意为适用于本项目，标记“□”的选项意为不适用于本项目。</w:t>
      </w:r>
      <w:r/>
    </w:p>
    <w:tbl>
      <w:tblPr>
        <w:tblStyle w:val="87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04"/>
              <w:jc w:val="center"/>
              <w:spacing w:line="360" w:lineRule="auto"/>
              <w:rPr>
                <w:rFonts w:ascii="Times New Roman" w:hAnsi="Times New Roman"/>
                <w:b/>
                <w:color w:val="auto"/>
                <w:sz w:val="21"/>
                <w:highlight w:val="none"/>
              </w:rPr>
            </w:pPr>
            <w:r>
              <w:rPr>
                <w:rFonts w:ascii="Times New Roman" w:hAnsi="Times New Roman"/>
                <w:b/>
                <w:color w:val="auto"/>
                <w:sz w:val="21"/>
                <w:highlight w:val="none"/>
              </w:rPr>
              <w:t xml:space="preserve">序号</w:t>
            </w:r>
            <w:r/>
          </w:p>
        </w:tc>
        <w:tc>
          <w:tcPr>
            <w:tcW w:w="850" w:type="dxa"/>
            <w:vAlign w:val="center"/>
            <w:textDirection w:val="lrTb"/>
            <w:noWrap w:val="false"/>
          </w:tcPr>
          <w:p>
            <w:pPr>
              <w:pStyle w:val="1104"/>
              <w:jc w:val="center"/>
              <w:spacing w:line="360" w:lineRule="auto"/>
              <w:rPr>
                <w:rFonts w:ascii="Times New Roman" w:hAnsi="Times New Roman"/>
                <w:b/>
                <w:color w:val="auto"/>
                <w:sz w:val="21"/>
                <w:highlight w:val="none"/>
              </w:rPr>
            </w:pPr>
            <w:r>
              <w:rPr>
                <w:rFonts w:ascii="Times New Roman" w:hAnsi="Times New Roman"/>
                <w:b/>
                <w:color w:val="auto"/>
                <w:sz w:val="21"/>
                <w:highlight w:val="none"/>
              </w:rPr>
              <w:t xml:space="preserve">条款号</w:t>
            </w:r>
            <w:r/>
          </w:p>
        </w:tc>
        <w:tc>
          <w:tcPr>
            <w:tcW w:w="2835" w:type="dxa"/>
            <w:vAlign w:val="center"/>
            <w:textDirection w:val="lrTb"/>
            <w:noWrap w:val="false"/>
          </w:tcPr>
          <w:p>
            <w:pPr>
              <w:pStyle w:val="1104"/>
              <w:jc w:val="center"/>
              <w:spacing w:line="360" w:lineRule="auto"/>
              <w:rPr>
                <w:rFonts w:ascii="Times New Roman" w:hAnsi="Times New Roman"/>
                <w:b/>
                <w:color w:val="auto"/>
                <w:sz w:val="21"/>
                <w:highlight w:val="none"/>
              </w:rPr>
            </w:pPr>
            <w:r>
              <w:rPr>
                <w:rFonts w:ascii="Times New Roman" w:hAnsi="Times New Roman"/>
                <w:b/>
                <w:color w:val="auto"/>
                <w:sz w:val="21"/>
                <w:highlight w:val="none"/>
              </w:rPr>
              <w:t xml:space="preserve">条款名称</w:t>
            </w:r>
            <w:r/>
          </w:p>
        </w:tc>
        <w:tc>
          <w:tcPr>
            <w:tcW w:w="4982" w:type="dxa"/>
            <w:vAlign w:val="center"/>
            <w:textDirection w:val="lrTb"/>
            <w:noWrap w:val="false"/>
          </w:tcPr>
          <w:p>
            <w:pPr>
              <w:pStyle w:val="1104"/>
              <w:jc w:val="center"/>
              <w:spacing w:line="360" w:lineRule="auto"/>
              <w:rPr>
                <w:rFonts w:ascii="Times New Roman" w:hAnsi="Times New Roman"/>
                <w:b/>
                <w:color w:val="auto"/>
                <w:sz w:val="21"/>
                <w:highlight w:val="none"/>
              </w:rPr>
            </w:pPr>
            <w:r>
              <w:rPr>
                <w:rFonts w:ascii="Times New Roman" w:hAnsi="Times New Roman"/>
                <w:b/>
                <w:color w:val="auto"/>
                <w:sz w:val="21"/>
                <w:highlight w:val="none"/>
              </w:rPr>
              <w:t xml:space="preserve">编列内容规定</w:t>
            </w:r>
            <w:r/>
          </w:p>
        </w:tc>
      </w:tr>
      <w:tr>
        <w:trPr>
          <w:jc w:val="center"/>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1</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2.1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采购人</w:t>
            </w:r>
            <w:r/>
          </w:p>
        </w:tc>
        <w:tc>
          <w:tcPr>
            <w:tcW w:w="4982" w:type="dxa"/>
            <w:vAlign w:val="center"/>
            <w:textDirection w:val="lrTb"/>
            <w:noWrap w:val="false"/>
          </w:tcPr>
          <w:p>
            <w:pPr>
              <w:pStyle w:val="1101"/>
              <w:spacing w:before="156" w:line="276" w:lineRule="auto"/>
              <w:rPr>
                <w:rFonts w:hint="eastAsia" w:cs="Times New Roman"/>
                <w:color w:val="auto"/>
                <w:sz w:val="21"/>
                <w:szCs w:val="21"/>
                <w:highlight w:val="none"/>
                <w:lang w:val="en-US" w:bidi="ar-SA"/>
              </w:rPr>
            </w:pPr>
            <w:r>
              <w:rPr>
                <w:rFonts w:cs="Times New Roman"/>
                <w:color w:val="auto"/>
                <w:sz w:val="21"/>
                <w:szCs w:val="21"/>
                <w:highlight w:val="none"/>
                <w:lang w:val="en-US" w:bidi="ar-SA"/>
              </w:rPr>
              <w:t xml:space="preserve">名 称 ：</w:t>
            </w:r>
            <w:sdt>
              <w:sdtPr>
                <w15:appearance w15:val="boundingBox"/>
                <w:id w:val="2031453113"/>
                <w:placeholder>
                  <w:docPart w:val="DefaultPlaceholder_-1854013440"/>
                </w:placeholder>
                <w:rPr>
                  <w:rFonts w:cs="Times New Roman"/>
                  <w:color w:val="auto"/>
                  <w:sz w:val="21"/>
                  <w:szCs w:val="21"/>
                  <w:highlight w:val="none"/>
                  <w:lang w:val="en-US" w:bidi="ar-SA"/>
                </w:rPr>
              </w:sdtPr>
              <w:sdtContent>
                <w:r>
                  <w:rPr>
                    <w:rFonts w:hint="eastAsia" w:cs="Times New Roman"/>
                    <w:color w:val="auto"/>
                    <w:sz w:val="21"/>
                    <w:szCs w:val="21"/>
                    <w:highlight w:val="none"/>
                    <w:lang w:val="en-US" w:bidi="ar-SA"/>
                  </w:rPr>
                  <w:t xml:space="preserve">苏州城市学院</w:t>
                </w:r>
              </w:sdtContent>
            </w:sd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ascii="宋体" w:hAnsi="宋体"/>
                <w:color w:val="auto"/>
                <w:szCs w:val="21"/>
                <w:highlight w:val="none"/>
              </w:rPr>
              <w:t xml:space="preserve">地 址 ：苏州市吴中区吴中大道1188号</w:t>
            </w:r>
            <w:r/>
          </w:p>
          <w:p>
            <w:pPr>
              <w:pStyle w:val="1101"/>
              <w:spacing w:before="156" w:line="276" w:lineRule="auto"/>
              <w:rPr>
                <w:rFonts w:hint="eastAsia" w:cs="Times New Roman"/>
                <w:color w:val="auto"/>
                <w:sz w:val="21"/>
                <w:szCs w:val="21"/>
                <w:highlight w:val="none"/>
                <w:lang w:val="en-US" w:bidi="ar-SA"/>
              </w:rPr>
            </w:pPr>
            <w:r>
              <w:rPr>
                <w:rFonts w:cs="Times New Roman"/>
                <w:color w:val="auto"/>
                <w:sz w:val="21"/>
                <w:szCs w:val="21"/>
                <w:highlight w:val="none"/>
                <w:lang w:val="en-US" w:bidi="ar-SA"/>
              </w:rPr>
              <w:t xml:space="preserve">联系人：</w:t>
            </w:r>
            <w:sdt>
              <w:sdtPr>
                <w15:appearance w15:val="boundingBox"/>
                <w:id w:val="-1453774149"/>
                <w:placeholder>
                  <w:docPart w:val="27D7AA2F29114E36B8098470AD181CFA"/>
                </w:placeholder>
                <w:rPr>
                  <w:rFonts w:cs="Times New Roman"/>
                  <w:color w:val="auto"/>
                  <w:sz w:val="21"/>
                  <w:szCs w:val="21"/>
                  <w:highlight w:val="none"/>
                </w:rPr>
              </w:sdtPr>
              <w:sdtContent>
                <w:r>
                  <w:rPr>
                    <w:rFonts w:hint="eastAsia" w:cs="Times New Roman"/>
                    <w:color w:val="auto"/>
                    <w:sz w:val="21"/>
                    <w:szCs w:val="21"/>
                    <w:highlight w:val="none"/>
                    <w:lang w:val="en-US" w:bidi="ar-SA"/>
                  </w:rPr>
                  <w:t xml:space="preserve">王</w:t>
                </w:r>
                <w:r>
                  <w:rPr>
                    <w:rFonts w:cs="Times New Roman"/>
                    <w:color w:val="auto"/>
                    <w:sz w:val="21"/>
                    <w:szCs w:val="21"/>
                    <w:highlight w:val="none"/>
                    <w:lang w:val="en-US" w:bidi="ar-SA"/>
                  </w:rPr>
                  <w:t xml:space="preserve">老师(技术联系人）、</w:t>
                </w:r>
                <w:r>
                  <w:rPr>
                    <w:rFonts w:hint="eastAsia" w:cs="Times New Roman"/>
                    <w:color w:val="auto"/>
                    <w:sz w:val="21"/>
                    <w:szCs w:val="21"/>
                    <w:highlight w:val="none"/>
                  </w:rPr>
                  <w:t xml:space="preserve">戴</w:t>
                </w:r>
                <w:r>
                  <w:rPr>
                    <w:rFonts w:cs="Times New Roman"/>
                    <w:color w:val="auto"/>
                    <w:sz w:val="21"/>
                    <w:szCs w:val="21"/>
                    <w:highlight w:val="none"/>
                  </w:rPr>
                  <w:t xml:space="preserve">老师（招标联系人）</w:t>
                </w:r>
              </w:sdtContent>
            </w:sdt>
            <w:r/>
            <w:r/>
          </w:p>
          <w:p>
            <w:pPr>
              <w:pStyle w:val="1101"/>
              <w:spacing w:before="156" w:line="276" w:lineRule="auto"/>
              <w:rPr>
                <w:rFonts w:ascii="Times New Roman" w:hAnsi="Times New Roman" w:cs="Times New Roman"/>
                <w:color w:val="auto"/>
                <w:sz w:val="21"/>
                <w:szCs w:val="21"/>
                <w:highlight w:val="none"/>
              </w:rPr>
            </w:pPr>
            <w:r>
              <w:rPr>
                <w:rFonts w:cs="Times New Roman"/>
                <w:color w:val="auto"/>
                <w:sz w:val="21"/>
                <w:szCs w:val="21"/>
                <w:highlight w:val="none"/>
                <w:lang w:val="en-US" w:bidi="ar-SA"/>
              </w:rPr>
              <w:t xml:space="preserve">电  话：</w:t>
            </w:r>
            <w:r>
              <w:rPr>
                <w:rFonts w:hint="eastAsia" w:cs="Times New Roman"/>
                <w:color w:val="auto"/>
                <w:sz w:val="21"/>
                <w:szCs w:val="21"/>
                <w:highlight w:val="none"/>
                <w:lang w:val="en-US" w:bidi="ar-SA"/>
              </w:rPr>
              <w:t xml:space="preserve">0512-66554607、</w:t>
            </w:r>
            <w:r>
              <w:rPr>
                <w:rFonts w:hint="eastAsia" w:cs="Microsoft New Tai Lue"/>
                <w:color w:val="auto"/>
                <w:sz w:val="21"/>
                <w:szCs w:val="21"/>
                <w:highlight w:val="none"/>
              </w:rPr>
              <w:t xml:space="preserve">0512-</w:t>
            </w:r>
            <w:r>
              <w:rPr>
                <w:rFonts w:cs="Microsoft New Tai Lue"/>
                <w:color w:val="auto"/>
                <w:sz w:val="21"/>
                <w:szCs w:val="21"/>
                <w:highlight w:val="none"/>
              </w:rPr>
              <w:t xml:space="preserve">66550568</w:t>
            </w:r>
            <w:r/>
          </w:p>
        </w:tc>
      </w:tr>
      <w:tr>
        <w:trPr>
          <w:jc w:val="center"/>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2</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2.2</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采购代理机构</w:t>
            </w:r>
            <w:r/>
          </w:p>
        </w:tc>
        <w:tc>
          <w:tcPr>
            <w:tcW w:w="4982" w:type="dxa"/>
            <w:vAlign w:val="center"/>
            <w:textDirection w:val="lrTb"/>
            <w:noWrap w:val="false"/>
          </w:tcPr>
          <w:p>
            <w:pPr>
              <w:pStyle w:val="1101"/>
              <w:spacing w:before="156" w:line="276" w:lineRule="auto"/>
              <w:rPr>
                <w:rFonts w:ascii="Times New Roman" w:hAnsi="Times New Roman" w:cs="Times New Roman"/>
                <w:color w:val="auto"/>
                <w:sz w:val="21"/>
                <w:szCs w:val="21"/>
                <w:highlight w:val="none"/>
                <w:lang w:val="en-US" w:bidi="ar-SA"/>
              </w:rPr>
            </w:pPr>
            <w:r>
              <w:rPr>
                <w:rFonts w:ascii="Times New Roman" w:hAnsi="Times New Roman" w:cs="Times New Roman"/>
                <w:color w:val="auto"/>
                <w:sz w:val="21"/>
                <w:szCs w:val="21"/>
                <w:highlight w:val="none"/>
                <w:lang w:val="en-US" w:bidi="ar-SA"/>
              </w:rPr>
              <w:t xml:space="preserve">名 称 ：江苏省招标中心有限公司</w:t>
            </w:r>
            <w:r/>
          </w:p>
          <w:p>
            <w:pPr>
              <w:pStyle w:val="1101"/>
              <w:spacing w:before="156" w:line="276" w:lineRule="auto"/>
              <w:rPr>
                <w:rFonts w:ascii="Times New Roman" w:hAnsi="Times New Roman" w:cs="Times New Roman"/>
                <w:color w:val="auto"/>
                <w:sz w:val="21"/>
                <w:szCs w:val="21"/>
                <w:highlight w:val="none"/>
                <w:lang w:val="en-US" w:bidi="ar-SA"/>
              </w:rPr>
            </w:pPr>
            <w:r>
              <w:rPr>
                <w:rFonts w:ascii="Times New Roman" w:hAnsi="Times New Roman" w:cs="Times New Roman"/>
                <w:color w:val="auto"/>
                <w:sz w:val="21"/>
                <w:szCs w:val="21"/>
                <w:highlight w:val="none"/>
                <w:lang w:val="en-US" w:bidi="ar-SA"/>
              </w:rPr>
              <w:t xml:space="preserve">地 址 ：</w:t>
            </w:r>
            <w:sdt>
              <w:sdtPr>
                <w15:appearance w15:val="boundingBox"/>
                <w:id w:val="841736562"/>
                <w:placeholder>
                  <w:docPart w:val="DefaultPlaceholder_-1854013440"/>
                </w:placeholder>
                <w:rPr>
                  <w:rFonts w:ascii="Times New Roman" w:hAnsi="Times New Roman" w:cs="Times New Roman"/>
                  <w:color w:val="auto"/>
                  <w:sz w:val="21"/>
                  <w:szCs w:val="21"/>
                  <w:highlight w:val="none"/>
                  <w:lang w:val="en-US" w:bidi="ar-SA"/>
                </w:rPr>
              </w:sdtPr>
              <w:sdtContent>
                <w:r>
                  <w:rPr>
                    <w:rFonts w:ascii="Times New Roman" w:hAnsi="Times New Roman" w:cs="Times New Roman"/>
                    <w:color w:val="auto"/>
                    <w:sz w:val="21"/>
                    <w:szCs w:val="21"/>
                    <w:highlight w:val="none"/>
                    <w:lang w:val="en-US" w:bidi="ar-SA"/>
                  </w:rPr>
                  <w:t xml:space="preserve">南京市郑和中路118号（南京长江国际航运中心）D座</w:t>
                </w:r>
              </w:sdtContent>
            </w:sdt>
            <w:r/>
            <w:r/>
          </w:p>
          <w:p>
            <w:pPr>
              <w:pStyle w:val="1101"/>
              <w:spacing w:before="156" w:line="276" w:lineRule="auto"/>
              <w:rPr>
                <w:rFonts w:ascii="Times New Roman" w:hAnsi="Times New Roman" w:cs="Times New Roman"/>
                <w:color w:val="auto"/>
                <w:sz w:val="21"/>
                <w:szCs w:val="21"/>
                <w:highlight w:val="none"/>
                <w:lang w:val="en-US" w:bidi="ar-SA"/>
              </w:rPr>
            </w:pPr>
            <w:r>
              <w:rPr>
                <w:rFonts w:ascii="Times New Roman" w:hAnsi="Times New Roman" w:cs="Times New Roman"/>
                <w:color w:val="auto"/>
                <w:sz w:val="21"/>
                <w:szCs w:val="21"/>
                <w:highlight w:val="none"/>
                <w:lang w:val="en-US" w:bidi="ar-SA"/>
              </w:rPr>
              <w:t xml:space="preserve">联系人：</w:t>
            </w:r>
            <w:sdt>
              <w:sdtPr>
                <w15:appearance w15:val="boundingBox"/>
                <w:id w:val="532547587"/>
                <w:placeholder>
                  <w:docPart w:val="BB191E8D265B432798D54E0A94C3A629"/>
                </w:placeholder>
                <w:rPr>
                  <w:rFonts w:ascii="Times New Roman" w:hAnsi="Times New Roman" w:cs="Times New Roman"/>
                  <w:color w:val="auto"/>
                  <w:sz w:val="21"/>
                  <w:szCs w:val="21"/>
                  <w:highlight w:val="none"/>
                  <w:lang w:val="en-US" w:bidi="ar-SA"/>
                </w:rPr>
              </w:sdtPr>
              <w:sdtContent>
                <w:r>
                  <w:rPr>
                    <w:rFonts w:ascii="Times New Roman" w:hAnsi="Times New Roman" w:cs="Times New Roman"/>
                    <w:color w:val="auto"/>
                    <w:sz w:val="21"/>
                    <w:szCs w:val="21"/>
                    <w:highlight w:val="none"/>
                    <w:lang w:val="en-US" w:bidi="ar-SA"/>
                  </w:rPr>
                  <w:t xml:space="preserve">张璐、史平华</w:t>
                </w:r>
              </w:sdtContent>
            </w:sdt>
            <w:r/>
            <w:r/>
          </w:p>
          <w:p>
            <w:pPr>
              <w:pStyle w:val="1101"/>
              <w:spacing w:before="156" w:line="276" w:lineRule="auto"/>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lang w:val="en-US" w:bidi="ar-SA"/>
              </w:rPr>
              <w:t xml:space="preserve">电  话：</w:t>
            </w:r>
            <w:sdt>
              <w:sdtPr>
                <w15:appearance w15:val="boundingBox"/>
                <w:id w:val="2044096884"/>
                <w:placeholder>
                  <w:docPart w:val="DefaultPlaceholder_-1854013440"/>
                </w:placeholder>
                <w:rPr>
                  <w:rFonts w:ascii="Times New Roman" w:hAnsi="Times New Roman" w:cs="Times New Roman"/>
                  <w:color w:val="auto"/>
                  <w:sz w:val="21"/>
                  <w:szCs w:val="21"/>
                  <w:highlight w:val="none"/>
                  <w:lang w:val="en-US" w:bidi="ar-SA"/>
                </w:rPr>
              </w:sdtPr>
              <w:sdtContent>
                <w:sdt>
                  <w:sdtPr>
                    <w15:appearance w15:val="boundingBox"/>
                    <w:id w:val="147458521"/>
                    <w:placeholder>
                      <w:docPart w:val="{933c4291-19e2-415d-9506-dbee5837c814}"/>
                    </w:placeholder>
                    <w:rPr>
                      <w:rFonts w:ascii="Times New Roman" w:hAnsi="Times New Roman" w:cs="Times New Roman"/>
                      <w:color w:val="auto"/>
                      <w:szCs w:val="21"/>
                      <w:highlight w:val="none"/>
                    </w:rPr>
                  </w:sdtPr>
                  <w:sdtContent>
                    <w:r>
                      <w:rPr>
                        <w:rFonts w:ascii="Times New Roman" w:hAnsi="Times New Roman" w:cs="Times New Roman"/>
                        <w:color w:val="auto"/>
                        <w:szCs w:val="21"/>
                        <w:highlight w:val="none"/>
                        <w:lang w:val="en-US"/>
                      </w:rPr>
                      <w:t xml:space="preserve">15605215397、15951799162</w:t>
                    </w:r>
                  </w:sdtContent>
                </w:sdt>
                <w:r>
                  <w:rPr>
                    <w:rFonts w:ascii="Times New Roman" w:hAnsi="Times New Roman" w:cs="Times New Roman"/>
                    <w:color w:val="auto"/>
                    <w:szCs w:val="21"/>
                    <w:highlight w:val="none"/>
                  </w:rPr>
                  <w:t xml:space="preserve"> </w:t>
                </w:r>
              </w:sdtContent>
            </w:sdt>
            <w:r/>
            <w:r/>
          </w:p>
        </w:tc>
      </w:tr>
      <w:tr>
        <w:trPr>
          <w:jc w:val="center"/>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3</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4</w:t>
            </w:r>
            <w:r/>
          </w:p>
        </w:tc>
        <w:tc>
          <w:tcPr>
            <w:tcW w:w="2835" w:type="dxa"/>
            <w:vAlign w:val="center"/>
            <w:textDirection w:val="lrTb"/>
            <w:noWrap w:val="false"/>
          </w:tcPr>
          <w:p>
            <w:pPr>
              <w:pStyle w:val="1104"/>
              <w:jc w:val="left"/>
              <w:rPr>
                <w:rFonts w:ascii="Times New Roman" w:hAnsi="Times New Roman"/>
                <w:color w:val="auto"/>
                <w:sz w:val="21"/>
                <w:highlight w:val="none"/>
              </w:rPr>
            </w:pPr>
            <w:r>
              <w:rPr>
                <w:rFonts w:ascii="Times New Roman" w:hAnsi="Times New Roman"/>
                <w:color w:val="auto"/>
                <w:sz w:val="21"/>
                <w:highlight w:val="none"/>
              </w:rPr>
              <w:t xml:space="preserve">本项目执行的政府采购政策</w:t>
            </w:r>
            <w:r/>
          </w:p>
        </w:tc>
        <w:tc>
          <w:tcPr>
            <w:tcW w:w="4982" w:type="dxa"/>
            <w:vAlign w:val="center"/>
            <w:textDirection w:val="lrTb"/>
            <w:noWrap w:val="false"/>
          </w:tcPr>
          <w:p>
            <w:pPr>
              <w:jc w:val="left"/>
              <w:rPr>
                <w:bCs/>
                <w:color w:val="auto"/>
                <w:szCs w:val="21"/>
                <w:highlight w:val="none"/>
              </w:rPr>
            </w:pPr>
            <w:r>
              <w:rPr>
                <w:bCs/>
                <w:color w:val="auto"/>
                <w:szCs w:val="21"/>
                <w:highlight w:val="none"/>
              </w:rPr>
              <w:t xml:space="preserve">详见</w:t>
            </w:r>
            <w:r>
              <w:rPr>
                <w:color w:val="auto"/>
                <w:szCs w:val="21"/>
                <w:highlight w:val="none"/>
              </w:rPr>
              <w:t xml:space="preserve">招标文件第一章《招标公告》</w:t>
            </w:r>
            <w:r/>
          </w:p>
        </w:tc>
      </w:tr>
      <w:tr>
        <w:trPr>
          <w:jc w:val="center"/>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4</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8.1</w:t>
            </w:r>
            <w:r/>
          </w:p>
        </w:tc>
        <w:tc>
          <w:tcPr>
            <w:tcW w:w="2835" w:type="dxa"/>
            <w:vAlign w:val="center"/>
            <w:textDirection w:val="lrTb"/>
            <w:noWrap w:val="false"/>
          </w:tcPr>
          <w:p>
            <w:pPr>
              <w:spacing w:before="156" w:line="276" w:lineRule="auto"/>
              <w:rPr>
                <w:bCs/>
                <w:color w:val="auto"/>
                <w:szCs w:val="21"/>
                <w:highlight w:val="none"/>
              </w:rPr>
            </w:pPr>
            <w:r>
              <w:rPr>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ascii="Calibri" w:hAnsi="Calibri" w:cs="Arial"/>
                <w:bCs/>
                <w:color w:val="auto"/>
                <w:sz w:val="20"/>
                <w:szCs w:val="21"/>
                <w:highlight w:val="none"/>
              </w:rPr>
            </w:sdtPr>
            <w:sdtContent>
              <w:p>
                <w:pPr>
                  <w:spacing w:before="156" w:line="276" w:lineRule="auto"/>
                  <w:rPr>
                    <w:bCs/>
                    <w:color w:val="auto"/>
                    <w:szCs w:val="21"/>
                    <w:highlight w:val="none"/>
                  </w:rPr>
                </w:pPr>
                <w:r>
                  <w:rPr>
                    <w:bCs/>
                    <w:color w:val="auto"/>
                    <w:szCs w:val="21"/>
                    <w:highlight w:val="none"/>
                  </w:rPr>
                  <w:t xml:space="preserve">不组织</w:t>
                </w:r>
                <w:r/>
              </w:p>
            </w:sdtContent>
          </w:sdt>
        </w:tc>
      </w:tr>
      <w:tr>
        <w:trPr>
          <w:jc w:val="center"/>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5</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9.1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ascii="Calibri" w:hAnsi="Calibri" w:cs="Arial"/>
                <w:bCs/>
                <w:color w:val="auto"/>
                <w:sz w:val="20"/>
                <w:szCs w:val="21"/>
                <w:highlight w:val="none"/>
              </w:rPr>
            </w:sdtPr>
            <w:sdtContent>
              <w:p>
                <w:pPr>
                  <w:spacing w:before="156" w:line="276" w:lineRule="auto"/>
                  <w:rPr>
                    <w:bCs/>
                    <w:color w:val="auto"/>
                    <w:szCs w:val="21"/>
                    <w:highlight w:val="none"/>
                  </w:rPr>
                </w:pPr>
                <w:r>
                  <w:rPr>
                    <w:bCs/>
                    <w:color w:val="auto"/>
                    <w:szCs w:val="21"/>
                    <w:highlight w:val="none"/>
                  </w:rPr>
                  <w:t xml:space="preserve">不召开</w:t>
                </w:r>
                <w:r/>
              </w:p>
            </w:sdtContent>
          </w:sdt>
        </w:tc>
      </w:tr>
      <w:tr>
        <w:trPr>
          <w:jc w:val="center"/>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6</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10.1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ascii="Calibri" w:hAnsi="Calibri" w:cs="Arial"/>
                <w:bCs/>
                <w:color w:val="auto"/>
                <w:sz w:val="20"/>
                <w:szCs w:val="21"/>
                <w:highlight w:val="none"/>
              </w:rPr>
            </w:sdtPr>
            <w:sdtContent>
              <w:p>
                <w:pPr>
                  <w:spacing w:before="156" w:line="276" w:lineRule="auto"/>
                  <w:rPr>
                    <w:color w:val="auto"/>
                    <w:szCs w:val="21"/>
                    <w:highlight w:val="none"/>
                  </w:rPr>
                </w:pPr>
                <w:r>
                  <w:rPr>
                    <w:bCs/>
                    <w:color w:val="auto"/>
                    <w:szCs w:val="21"/>
                    <w:highlight w:val="none"/>
                  </w:rPr>
                  <w:t xml:space="preserve">不接受</w:t>
                </w:r>
                <w:r/>
              </w:p>
            </w:sdtContent>
          </w:sdt>
        </w:tc>
      </w:tr>
      <w:tr>
        <w:trPr>
          <w:jc w:val="center"/>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7</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11.1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分包</w:t>
            </w:r>
            <w:r/>
          </w:p>
        </w:tc>
        <w:tc>
          <w:tcPr>
            <w:tcW w:w="4982" w:type="dxa"/>
            <w:vAlign w:val="center"/>
            <w:textDirection w:val="lrTb"/>
            <w:noWrap w:val="false"/>
          </w:tcPr>
          <w:p>
            <w:pPr>
              <w:spacing w:before="156" w:line="276" w:lineRule="auto"/>
              <w:rPr>
                <w:color w:val="auto"/>
                <w:szCs w:val="21"/>
                <w:highlight w:val="none"/>
              </w:rPr>
            </w:pPr>
            <w:r>
              <w:rPr>
                <w:color w:val="auto"/>
                <w:szCs w:val="21"/>
                <w:highlight w:val="none"/>
              </w:rPr>
              <w:t xml:space="preserve">本项目的非主体、非关键性工作是否允许分包：</w:t>
            </w:r>
            <w:r/>
          </w:p>
          <w:p>
            <w:pPr>
              <w:spacing w:before="156" w:line="276" w:lineRule="auto"/>
              <w:rPr>
                <w:bCs/>
                <w:color w:val="auto"/>
                <w:szCs w:val="21"/>
                <w:highlight w:val="none"/>
              </w:rPr>
            </w:pPr>
            <w:r/>
            <w:sdt>
              <w:sdtPr>
                <w15:appearance w15:val="boundingBox"/>
                <w:id w:val="-891262471"/>
                <w:placeholder>
                  <w:docPart w:val="DefaultPlaceholder_-1854013440"/>
                </w:placeholder>
                <w:rPr>
                  <w:color w:val="auto"/>
                  <w:szCs w:val="21"/>
                  <w:highlight w:val="none"/>
                </w:rPr>
              </w:sdtPr>
              <w:sdtContent>
                <w:r>
                  <w:rPr>
                    <w:color w:val="auto"/>
                    <w:szCs w:val="21"/>
                    <w:highlight w:val="none"/>
                  </w:rPr>
                  <w:t xml:space="preserve">不允许</w:t>
                </w:r>
              </w:sdtContent>
            </w:sdt>
            <w:r/>
            <w:r/>
          </w:p>
        </w:tc>
      </w:tr>
      <w:tr>
        <w:trPr>
          <w:jc w:val="center"/>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8</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12.1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样品</w:t>
            </w:r>
            <w:r/>
          </w:p>
        </w:tc>
        <w:tc>
          <w:tcPr>
            <w:tcW w:w="4982" w:type="dxa"/>
            <w:vAlign w:val="center"/>
            <w:textDirection w:val="lrTb"/>
            <w:noWrap w:val="false"/>
          </w:tcPr>
          <w:p>
            <w:pPr>
              <w:spacing w:before="156" w:line="276" w:lineRule="auto"/>
              <w:rPr>
                <w:bCs/>
                <w:color w:val="auto"/>
                <w:szCs w:val="21"/>
                <w:highlight w:val="none"/>
              </w:rPr>
            </w:pPr>
            <w:r>
              <w:rPr>
                <w:bCs/>
                <w:color w:val="auto"/>
                <w:szCs w:val="21"/>
                <w:highlight w:val="none"/>
              </w:rPr>
              <w:t xml:space="preserve">投标样品递交：</w:t>
            </w:r>
            <w:sdt>
              <w:sdtPr>
                <w15:appearance w15:val="boundingBox"/>
                <w:id w:val="562295229"/>
                <w:placeholder>
                  <w:docPart w:val="DefaultPlaceholder_-1854013440"/>
                </w:placeholder>
                <w:rPr>
                  <w:bCs/>
                  <w:color w:val="auto"/>
                  <w:szCs w:val="21"/>
                  <w:highlight w:val="none"/>
                </w:rPr>
              </w:sdtPr>
              <w:sdtContent>
                <w:r>
                  <w:rPr>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9</w:t>
            </w:r>
            <w:r/>
          </w:p>
        </w:tc>
        <w:tc>
          <w:tcPr>
            <w:tcW w:w="850" w:type="dxa"/>
            <w:vAlign w:val="center"/>
            <w:textDirection w:val="lrTb"/>
            <w:noWrap w:val="false"/>
          </w:tcPr>
          <w:p>
            <w:pPr>
              <w:pStyle w:val="1104"/>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13.1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采购进口产品</w:t>
            </w:r>
            <w:r/>
          </w:p>
        </w:tc>
        <w:tc>
          <w:tcPr>
            <w:tcW w:w="4982" w:type="dxa"/>
            <w:vAlign w:val="center"/>
            <w:textDirection w:val="lrTb"/>
            <w:noWrap w:val="false"/>
          </w:tcPr>
          <w:p>
            <w:pPr>
              <w:spacing w:before="156" w:line="360" w:lineRule="auto"/>
              <w:rPr>
                <w:bCs/>
                <w:color w:val="auto"/>
                <w:szCs w:val="21"/>
                <w:highlight w:val="none"/>
              </w:rPr>
            </w:pPr>
            <w:r>
              <w:rPr>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10</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14.1</w:t>
            </w:r>
            <w:r/>
          </w:p>
        </w:tc>
        <w:tc>
          <w:tcPr>
            <w:tcW w:w="2835" w:type="dxa"/>
            <w:vAlign w:val="center"/>
            <w:textDirection w:val="lrTb"/>
            <w:noWrap w:val="false"/>
          </w:tcPr>
          <w:p>
            <w:pPr>
              <w:pStyle w:val="1104"/>
              <w:jc w:val="left"/>
              <w:rPr>
                <w:rFonts w:ascii="Times New Roman" w:hAnsi="Times New Roman"/>
                <w:color w:val="auto"/>
                <w:sz w:val="21"/>
                <w:highlight w:val="none"/>
              </w:rPr>
            </w:pPr>
            <w:r>
              <w:rPr>
                <w:rFonts w:ascii="Times New Roman" w:hAnsi="Times New Roman"/>
                <w:color w:val="auto"/>
                <w:sz w:val="21"/>
                <w:highlight w:val="none"/>
              </w:rPr>
              <w:t xml:space="preserve">采购预算</w:t>
            </w:r>
            <w:r/>
          </w:p>
        </w:tc>
        <w:tc>
          <w:tcPr>
            <w:tcW w:w="4982" w:type="dxa"/>
            <w:vAlign w:val="center"/>
            <w:textDirection w:val="lrTb"/>
            <w:noWrap w:val="false"/>
          </w:tcPr>
          <w:p>
            <w:pPr>
              <w:jc w:val="left"/>
              <w:rPr>
                <w:color w:val="auto"/>
                <w:szCs w:val="21"/>
                <w:highlight w:val="none"/>
              </w:rPr>
            </w:pPr>
            <w:r>
              <w:rPr>
                <w:bCs/>
                <w:color w:val="auto"/>
                <w:szCs w:val="21"/>
                <w:highlight w:val="none"/>
              </w:rPr>
              <w:t xml:space="preserve">详见</w:t>
            </w:r>
            <w:r>
              <w:rPr>
                <w:color w:val="auto"/>
                <w:szCs w:val="21"/>
                <w:highlight w:val="none"/>
              </w:rPr>
              <w:t xml:space="preserve">招标文件第一章《招标公告》</w:t>
            </w:r>
            <w:r/>
          </w:p>
        </w:tc>
      </w:tr>
      <w:tr>
        <w:trPr>
          <w:jc w:val="center"/>
          <w:trHeight w:val="74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11</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14.2</w:t>
            </w:r>
            <w:r/>
          </w:p>
        </w:tc>
        <w:tc>
          <w:tcPr>
            <w:tcW w:w="2835" w:type="dxa"/>
            <w:vAlign w:val="center"/>
            <w:textDirection w:val="lrTb"/>
            <w:noWrap w:val="false"/>
          </w:tcPr>
          <w:p>
            <w:pPr>
              <w:pStyle w:val="1104"/>
              <w:jc w:val="left"/>
              <w:rPr>
                <w:rFonts w:ascii="Times New Roman" w:hAnsi="Times New Roman"/>
                <w:color w:val="auto"/>
                <w:sz w:val="21"/>
                <w:highlight w:val="none"/>
              </w:rPr>
            </w:pPr>
            <w:r>
              <w:rPr>
                <w:rFonts w:ascii="Times New Roman" w:hAnsi="Times New Roman"/>
                <w:color w:val="auto"/>
                <w:sz w:val="21"/>
                <w:highlight w:val="none"/>
              </w:rPr>
              <w:t xml:space="preserve">本项目设定的最高限价</w:t>
            </w:r>
            <w:r/>
          </w:p>
        </w:tc>
        <w:tc>
          <w:tcPr>
            <w:tcW w:w="4982" w:type="dxa"/>
            <w:vAlign w:val="center"/>
            <w:textDirection w:val="lrTb"/>
            <w:noWrap w:val="false"/>
          </w:tcPr>
          <w:p>
            <w:pPr>
              <w:jc w:val="left"/>
              <w:rPr>
                <w:color w:val="auto"/>
                <w:szCs w:val="21"/>
                <w:highlight w:val="none"/>
              </w:rPr>
            </w:pPr>
            <w:r>
              <w:rPr>
                <w:bCs/>
                <w:color w:val="auto"/>
                <w:szCs w:val="21"/>
                <w:highlight w:val="none"/>
              </w:rPr>
              <w:t xml:space="preserve">详见</w:t>
            </w:r>
            <w:r>
              <w:rPr>
                <w:color w:val="auto"/>
                <w:szCs w:val="21"/>
                <w:highlight w:val="none"/>
              </w:rPr>
              <w:t xml:space="preserve">招标文件第一章《招标公告》</w:t>
            </w:r>
            <w:r/>
          </w:p>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12</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15.1</w:t>
            </w:r>
            <w:r/>
          </w:p>
        </w:tc>
        <w:tc>
          <w:tcPr>
            <w:tcW w:w="2835" w:type="dxa"/>
            <w:vAlign w:val="center"/>
            <w:textDirection w:val="lrTb"/>
            <w:noWrap w:val="false"/>
          </w:tcPr>
          <w:p>
            <w:pPr>
              <w:jc w:val="left"/>
              <w:rPr>
                <w:bCs/>
                <w:color w:val="auto"/>
                <w:szCs w:val="21"/>
                <w:highlight w:val="none"/>
              </w:rPr>
            </w:pPr>
            <w:r>
              <w:rPr>
                <w:bCs/>
                <w:color w:val="auto"/>
                <w:szCs w:val="21"/>
                <w:highlight w:val="none"/>
              </w:rPr>
              <w:t xml:space="preserve">供应商资格条件</w:t>
            </w:r>
            <w:r/>
          </w:p>
        </w:tc>
        <w:tc>
          <w:tcPr>
            <w:tcW w:w="4982" w:type="dxa"/>
            <w:vAlign w:val="center"/>
            <w:textDirection w:val="lrTb"/>
            <w:noWrap w:val="false"/>
          </w:tcPr>
          <w:p>
            <w:pPr>
              <w:jc w:val="left"/>
              <w:rPr>
                <w:bCs/>
                <w:color w:val="auto"/>
                <w:szCs w:val="21"/>
                <w:highlight w:val="none"/>
              </w:rPr>
            </w:pPr>
            <w:r>
              <w:rPr>
                <w:bCs/>
                <w:color w:val="auto"/>
                <w:szCs w:val="21"/>
                <w:highlight w:val="none"/>
              </w:rPr>
              <w:t xml:space="preserve">详见招标文件第一章《招标公告》</w:t>
            </w:r>
            <w:r/>
          </w:p>
        </w:tc>
      </w:tr>
      <w:tr>
        <w:trPr>
          <w:jc w:val="center"/>
          <w:trHeight w:val="463"/>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13</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20.5</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投标报价</w:t>
            </w:r>
            <w:r/>
          </w:p>
        </w:tc>
        <w:tc>
          <w:tcPr>
            <w:tcW w:w="4982" w:type="dxa"/>
            <w:vAlign w:val="center"/>
            <w:textDirection w:val="lrTb"/>
            <w:noWrap w:val="false"/>
          </w:tcPr>
          <w:p>
            <w:pPr>
              <w:pStyle w:val="1104"/>
              <w:spacing w:line="360" w:lineRule="auto"/>
              <w:rPr>
                <w:rFonts w:ascii="Times New Roman" w:hAnsi="Times New Roman"/>
                <w:bCs/>
                <w:color w:val="auto"/>
                <w:sz w:val="21"/>
                <w:highlight w:val="none"/>
              </w:rPr>
            </w:pPr>
            <w:r>
              <w:rPr>
                <w:rFonts w:ascii="Times New Roman" w:hAnsi="Times New Roman"/>
                <w:bCs/>
                <w:color w:val="auto"/>
                <w:sz w:val="21"/>
                <w:highlight w:val="none"/>
              </w:rPr>
              <w:t xml:space="preserve">投标报价的其他要求：</w:t>
            </w:r>
            <w:sdt>
              <w:sdtPr>
                <w15:appearance w15:val="boundingBox"/>
                <w:id w:val="-794981316"/>
                <w:placeholder>
                  <w:docPart w:val="DefaultPlaceholder_-1854013440"/>
                </w:placeholder>
                <w:rPr>
                  <w:rFonts w:ascii="Times New Roman" w:hAnsi="Times New Roman"/>
                  <w:bCs/>
                  <w:color w:val="auto"/>
                  <w:sz w:val="21"/>
                  <w:highlight w:val="none"/>
                </w:rPr>
              </w:sdtPr>
              <w:sdtContent>
                <w:r>
                  <w:rPr>
                    <w:rFonts w:ascii="Times New Roman" w:hAnsi="Times New Roman"/>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14</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21.1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投标有效期</w:t>
            </w:r>
            <w:r/>
          </w:p>
        </w:tc>
        <w:tc>
          <w:tcPr>
            <w:tcW w:w="4982" w:type="dxa"/>
            <w:vAlign w:val="center"/>
            <w:textDirection w:val="lrTb"/>
            <w:noWrap w:val="false"/>
          </w:tcPr>
          <w:p>
            <w:pPr>
              <w:pStyle w:val="1104"/>
              <w:spacing w:line="360" w:lineRule="auto"/>
              <w:rPr>
                <w:rFonts w:ascii="Times New Roman" w:hAnsi="Times New Roman"/>
                <w:bCs/>
                <w:color w:val="auto"/>
                <w:sz w:val="21"/>
                <w:highlight w:val="none"/>
              </w:rPr>
            </w:pPr>
            <w:r>
              <w:rPr>
                <w:rFonts w:ascii="Times New Roman" w:hAnsi="Times New Roman"/>
                <w:bCs/>
                <w:color w:val="auto"/>
                <w:sz w:val="21"/>
                <w:highlight w:val="none"/>
              </w:rPr>
              <w:t xml:space="preserve">自提交投标文件的截止之日起算</w:t>
            </w:r>
            <w:sdt>
              <w:sdtPr>
                <w15:appearance w15:val="boundingBox"/>
                <w:id w:val="609780092"/>
                <w:placeholder>
                  <w:docPart w:val="DefaultPlaceholder_-1854013440"/>
                </w:placeholder>
                <w:rPr>
                  <w:rFonts w:ascii="Times New Roman" w:hAnsi="Times New Roman"/>
                  <w:bCs/>
                  <w:color w:val="auto"/>
                  <w:sz w:val="21"/>
                  <w:highlight w:val="none"/>
                </w:rPr>
              </w:sdtPr>
              <w:sdtContent>
                <w:r>
                  <w:rPr>
                    <w:rFonts w:ascii="Times New Roman" w:hAnsi="Times New Roman"/>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15</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22.1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投标保证金</w:t>
            </w:r>
            <w:r/>
          </w:p>
        </w:tc>
        <w:tc>
          <w:tcPr>
            <w:tcW w:w="4982" w:type="dxa"/>
            <w:vAlign w:val="center"/>
            <w:textDirection w:val="lrTb"/>
            <w:noWrap w:val="false"/>
          </w:tcPr>
          <w:sdt>
            <w:sdtPr>
              <w15:appearance w15:val="boundingBox"/>
              <w:id w:val="-422028630"/>
              <w:placeholder>
                <w:docPart w:val="DefaultPlaceholder_-1854013440"/>
              </w:placeholder>
              <w:rPr>
                <w:rFonts w:ascii="Calibri" w:hAnsi="Calibri" w:cs="Arial"/>
                <w:bCs/>
                <w:color w:val="auto"/>
                <w:sz w:val="20"/>
                <w:szCs w:val="21"/>
                <w:highlight w:val="none"/>
              </w:rPr>
            </w:sdtPr>
            <w:sdtContent>
              <w:p>
                <w:pPr>
                  <w:spacing w:before="156" w:line="360" w:lineRule="auto"/>
                  <w:rPr>
                    <w:bCs/>
                    <w:color w:val="auto"/>
                    <w:szCs w:val="21"/>
                    <w:highlight w:val="none"/>
                  </w:rPr>
                </w:pPr>
                <w:r>
                  <w:rPr>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16</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23.1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投标文件份数</w:t>
            </w:r>
            <w:r/>
          </w:p>
        </w:tc>
        <w:tc>
          <w:tcPr>
            <w:tcW w:w="4982" w:type="dxa"/>
            <w:vAlign w:val="center"/>
            <w:textDirection w:val="lrTb"/>
            <w:noWrap w:val="false"/>
          </w:tcPr>
          <w:p>
            <w:pPr>
              <w:pStyle w:val="1104"/>
              <w:spacing w:line="360" w:lineRule="auto"/>
              <w:rPr>
                <w:rFonts w:ascii="Times New Roman" w:hAnsi="Times New Roman"/>
                <w:b/>
                <w:bCs/>
                <w:color w:val="auto"/>
                <w:sz w:val="21"/>
                <w:highlight w:val="none"/>
              </w:rPr>
            </w:pPr>
            <w:r>
              <w:rPr>
                <w:rFonts w:hint="eastAsia" w:hAnsi="宋体" w:cs="宋体"/>
                <w:color w:val="auto"/>
                <w:sz w:val="21"/>
                <w:highlight w:val="none"/>
              </w:rPr>
              <w:t xml:space="preserve">■不适用</w:t>
            </w:r>
            <w:r/>
          </w:p>
        </w:tc>
      </w:tr>
      <w:tr>
        <w:trPr>
          <w:jc w:val="center"/>
          <w:trHeight w:val="551"/>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17</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24.1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投标文件的密封和标记</w:t>
            </w:r>
            <w:r/>
          </w:p>
        </w:tc>
        <w:tc>
          <w:tcPr>
            <w:tcW w:w="4982" w:type="dxa"/>
            <w:vAlign w:val="center"/>
            <w:textDirection w:val="lrTb"/>
            <w:noWrap w:val="false"/>
          </w:tcPr>
          <w:p>
            <w:pPr>
              <w:pStyle w:val="1104"/>
              <w:spacing w:line="360" w:lineRule="auto"/>
              <w:rPr>
                <w:rFonts w:ascii="Times New Roman" w:hAnsi="Times New Roman"/>
                <w:bCs/>
                <w:color w:val="auto"/>
                <w:sz w:val="21"/>
                <w:highlight w:val="none"/>
              </w:rPr>
            </w:pPr>
            <w:r>
              <w:rPr>
                <w:rFonts w:hint="eastAsia" w:hAnsi="宋体" w:cs="宋体"/>
                <w:color w:val="auto"/>
                <w:sz w:val="21"/>
                <w:highlight w:val="none"/>
              </w:rPr>
              <w:t xml:space="preserve">■不适用</w:t>
            </w:r>
            <w:r/>
          </w:p>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18</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25.1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提交投标文件的截止时间、地点</w:t>
            </w:r>
            <w:r/>
          </w:p>
        </w:tc>
        <w:tc>
          <w:tcPr>
            <w:tcW w:w="4982"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19</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28.1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开标时间、地点</w:t>
            </w:r>
            <w:r/>
          </w:p>
        </w:tc>
        <w:tc>
          <w:tcPr>
            <w:tcW w:w="4982"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20</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29.2.1</w:t>
            </w:r>
            <w:r/>
          </w:p>
        </w:tc>
        <w:tc>
          <w:tcPr>
            <w:tcW w:w="2835" w:type="dxa"/>
            <w:vAlign w:val="center"/>
            <w:textDirection w:val="lrTb"/>
            <w:noWrap w:val="false"/>
          </w:tcPr>
          <w:p>
            <w:pPr>
              <w:pStyle w:val="1104"/>
              <w:jc w:val="left"/>
              <w:rPr>
                <w:rFonts w:ascii="Times New Roman" w:hAnsi="Times New Roman"/>
                <w:color w:val="auto"/>
                <w:sz w:val="21"/>
                <w:highlight w:val="none"/>
              </w:rPr>
            </w:pPr>
            <w:r>
              <w:rPr>
                <w:rFonts w:ascii="Times New Roman" w:hAnsi="Times New Roman"/>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ascii="Times New Roman" w:hAnsi="Times New Roman" w:cs="Arial"/>
                <w:bCs/>
                <w:color w:val="auto"/>
                <w:sz w:val="21"/>
                <w:szCs w:val="20"/>
                <w:highlight w:val="none"/>
              </w:rPr>
            </w:sdtPr>
            <w:sdtContent>
              <w:p>
                <w:pPr>
                  <w:pStyle w:val="1104"/>
                  <w:spacing w:line="360" w:lineRule="auto"/>
                  <w:rPr>
                    <w:rFonts w:ascii="Times New Roman" w:hAnsi="Times New Roman"/>
                    <w:bCs/>
                    <w:color w:val="auto"/>
                    <w:sz w:val="21"/>
                    <w:highlight w:val="none"/>
                  </w:rPr>
                </w:pPr>
                <w:r>
                  <w:rPr>
                    <w:rFonts w:ascii="Times New Roman" w:hAnsi="Times New Roman"/>
                    <w:bCs/>
                    <w:color w:val="auto"/>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21</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30.1.1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评标委员会</w:t>
            </w:r>
            <w:r/>
          </w:p>
        </w:tc>
        <w:tc>
          <w:tcPr>
            <w:tcW w:w="4982" w:type="dxa"/>
            <w:vAlign w:val="center"/>
            <w:textDirection w:val="lrTb"/>
            <w:noWrap w:val="false"/>
          </w:tcPr>
          <w:p>
            <w:pPr>
              <w:pStyle w:val="1104"/>
              <w:spacing w:line="360" w:lineRule="auto"/>
              <w:rPr>
                <w:rFonts w:ascii="Times New Roman" w:hAnsi="Times New Roman"/>
                <w:bCs/>
                <w:color w:val="auto"/>
                <w:sz w:val="21"/>
                <w:highlight w:val="none"/>
              </w:rPr>
            </w:pPr>
            <w:r>
              <w:rPr>
                <w:rFonts w:ascii="Times New Roman" w:hAnsi="Times New Roman"/>
                <w:bCs/>
                <w:color w:val="auto"/>
                <w:sz w:val="21"/>
                <w:highlight w:val="none"/>
              </w:rPr>
              <w:t xml:space="preserve">5人及以上单数。</w:t>
            </w:r>
            <w:r/>
          </w:p>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22</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30.5.3</w:t>
            </w:r>
            <w:r/>
          </w:p>
        </w:tc>
        <w:tc>
          <w:tcPr>
            <w:tcW w:w="2835" w:type="dxa"/>
            <w:vAlign w:val="center"/>
            <w:textDirection w:val="lrTb"/>
            <w:noWrap w:val="false"/>
          </w:tcPr>
          <w:p>
            <w:pPr>
              <w:pStyle w:val="1104"/>
              <w:jc w:val="left"/>
              <w:rPr>
                <w:rFonts w:ascii="Times New Roman" w:hAnsi="Times New Roman"/>
                <w:color w:val="auto"/>
                <w:sz w:val="21"/>
                <w:highlight w:val="none"/>
              </w:rPr>
            </w:pPr>
            <w:r>
              <w:rPr>
                <w:rFonts w:ascii="Times New Roman" w:hAnsi="Times New Roman"/>
                <w:color w:val="auto"/>
                <w:sz w:val="21"/>
                <w:highlight w:val="none"/>
              </w:rPr>
              <w:t xml:space="preserve">核心产品</w:t>
            </w:r>
            <w:r>
              <w:rPr>
                <w:rFonts w:ascii="Times New Roman" w:hAnsi="Times New Roman"/>
                <w:color w:val="auto"/>
                <w:sz w:val="21"/>
                <w:highlight w:val="none"/>
              </w:rPr>
              <w:tab/>
            </w:r>
            <w:r/>
          </w:p>
        </w:tc>
        <w:tc>
          <w:tcPr>
            <w:tcW w:w="4982" w:type="dxa"/>
            <w:vAlign w:val="center"/>
            <w:textDirection w:val="lrTb"/>
            <w:noWrap w:val="false"/>
          </w:tcPr>
          <w:sdt>
            <w:sdtPr>
              <w15:appearance w15:val="boundingBox"/>
              <w:id w:val="-1249194464"/>
              <w:placeholder>
                <w:docPart w:val="DefaultPlaceholder_-1854013440"/>
              </w:placeholder>
              <w:rPr>
                <w:rFonts w:ascii="Times New Roman" w:hAnsi="Times New Roman" w:cs="Arial"/>
                <w:bCs/>
                <w:color w:val="auto"/>
                <w:sz w:val="21"/>
                <w:szCs w:val="20"/>
                <w:highlight w:val="none"/>
              </w:rPr>
            </w:sdtPr>
            <w:sdtContent>
              <w:p>
                <w:pPr>
                  <w:pStyle w:val="1104"/>
                  <w:spacing w:line="360" w:lineRule="auto"/>
                  <w:rPr>
                    <w:rFonts w:ascii="Times New Roman" w:hAnsi="Times New Roman"/>
                    <w:bCs/>
                    <w:color w:val="auto"/>
                    <w:sz w:val="21"/>
                    <w:highlight w:val="none"/>
                  </w:rPr>
                </w:pPr>
                <w:r>
                  <w:rPr>
                    <w:rFonts w:ascii="Times New Roman" w:hAnsi="Times New Roman"/>
                    <w:bCs/>
                    <w:color w:val="auto"/>
                    <w:sz w:val="21"/>
                    <w:highlight w:val="none"/>
                  </w:rPr>
                  <w:t xml:space="preserve">■货物类，本项目核心产品详见招标文件第四章《采购需求》。</w:t>
                </w:r>
                <w:r/>
              </w:p>
            </w:sdtContent>
          </w:sdt>
        </w:tc>
      </w:tr>
      <w:tr>
        <w:trPr>
          <w:jc w:val="center"/>
          <w:trHeight w:val="922"/>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23</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31.3</w:t>
            </w:r>
            <w:r/>
          </w:p>
        </w:tc>
        <w:tc>
          <w:tcPr>
            <w:tcW w:w="2835" w:type="dxa"/>
            <w:vAlign w:val="center"/>
            <w:textDirection w:val="lrTb"/>
            <w:noWrap w:val="false"/>
          </w:tcPr>
          <w:p>
            <w:pPr>
              <w:pStyle w:val="1104"/>
              <w:jc w:val="left"/>
              <w:rPr>
                <w:rFonts w:ascii="Times New Roman" w:hAnsi="Times New Roman"/>
                <w:bCs/>
                <w:color w:val="auto"/>
                <w:sz w:val="21"/>
                <w:highlight w:val="none"/>
              </w:rPr>
            </w:pPr>
            <w:r>
              <w:rPr>
                <w:rFonts w:ascii="Times New Roman" w:hAnsi="Times New Roman"/>
                <w:bCs/>
                <w:color w:val="auto"/>
                <w:sz w:val="21"/>
                <w:highlight w:val="none"/>
              </w:rPr>
              <w:t xml:space="preserve">确定中标单位</w:t>
            </w:r>
            <w:r/>
          </w:p>
        </w:tc>
        <w:tc>
          <w:tcPr>
            <w:tcW w:w="4982" w:type="dxa"/>
            <w:vAlign w:val="center"/>
            <w:textDirection w:val="lrTb"/>
            <w:noWrap w:val="false"/>
          </w:tcPr>
          <w:p>
            <w:pPr>
              <w:spacing w:before="156" w:line="360" w:lineRule="auto"/>
              <w:rPr>
                <w:bCs/>
                <w:color w:val="auto"/>
                <w:szCs w:val="21"/>
                <w:highlight w:val="none"/>
              </w:rPr>
            </w:pPr>
            <w:r>
              <w:rPr>
                <w:bCs/>
                <w:color w:val="auto"/>
                <w:szCs w:val="21"/>
                <w:highlight w:val="none"/>
              </w:rPr>
              <w:t xml:space="preserve">1.评委会根据本采购文件规定评分办法与评分标准综合打分，并按综合得分由高到低顺序向项目采购人推荐排名第一的中标候选人为中标人。</w:t>
            </w:r>
            <w:r/>
          </w:p>
          <w:p>
            <w:pPr>
              <w:jc w:val="left"/>
              <w:spacing w:line="360" w:lineRule="auto"/>
              <w:rPr>
                <w:bCs/>
                <w:color w:val="auto"/>
                <w:szCs w:val="21"/>
                <w:highlight w:val="none"/>
              </w:rPr>
            </w:pPr>
            <w:r>
              <w:rPr>
                <w:bCs/>
                <w:color w:val="auto"/>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24</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31.4</w:t>
            </w:r>
            <w:r/>
          </w:p>
        </w:tc>
        <w:tc>
          <w:tcPr>
            <w:tcW w:w="2835" w:type="dxa"/>
            <w:vAlign w:val="center"/>
            <w:textDirection w:val="lrTb"/>
            <w:noWrap w:val="false"/>
          </w:tcPr>
          <w:p>
            <w:pPr>
              <w:pStyle w:val="1104"/>
              <w:jc w:val="left"/>
              <w:rPr>
                <w:rFonts w:ascii="Times New Roman" w:hAnsi="Times New Roman"/>
                <w:color w:val="auto"/>
                <w:sz w:val="21"/>
                <w:highlight w:val="none"/>
              </w:rPr>
            </w:pPr>
            <w:r>
              <w:rPr>
                <w:rFonts w:ascii="Times New Roman" w:hAnsi="Times New Roman"/>
                <w:color w:val="auto"/>
                <w:sz w:val="21"/>
                <w:highlight w:val="none"/>
              </w:rPr>
              <w:t xml:space="preserve">公告媒体</w:t>
            </w:r>
            <w:r/>
          </w:p>
        </w:tc>
        <w:tc>
          <w:tcPr>
            <w:tcW w:w="4982" w:type="dxa"/>
            <w:vAlign w:val="center"/>
            <w:textDirection w:val="lrTb"/>
            <w:noWrap w:val="false"/>
          </w:tcPr>
          <w:sdt>
            <w:sdtPr>
              <w15:appearance w15:val="boundingBox"/>
              <w:id w:val="-1982531183"/>
              <w:placeholder>
                <w:docPart w:val="{73ad7ce8-926a-4087-a4b7-60e4c7f312b1}"/>
              </w:placeholder>
              <w:rPr>
                <w:rFonts w:ascii="Times New Roman" w:hAnsi="Times New Roman" w:cs="Arial"/>
                <w:bCs/>
                <w:color w:val="auto"/>
                <w:sz w:val="21"/>
                <w:szCs w:val="20"/>
                <w:highlight w:val="none"/>
              </w:rPr>
            </w:sdtPr>
            <w:sdtContent>
              <w:p>
                <w:pPr>
                  <w:pStyle w:val="1104"/>
                  <w:jc w:val="left"/>
                  <w:spacing w:line="360" w:lineRule="auto"/>
                  <w:rPr>
                    <w:rFonts w:ascii="Times New Roman" w:hAnsi="Times New Roman"/>
                    <w:bCs/>
                    <w:color w:val="auto"/>
                    <w:sz w:val="21"/>
                    <w:highlight w:val="none"/>
                  </w:rPr>
                </w:pPr>
                <w:r>
                  <w:rPr>
                    <w:rFonts w:hint="eastAsia" w:hAnsi="宋体"/>
                    <w:color w:val="auto"/>
                    <w:sz w:val="21"/>
                    <w:highlight w:val="none"/>
                  </w:rPr>
                  <w:t xml:space="preserve">《苏州市政府采购网》（</w:t>
                </w:r>
                <w:r>
                  <w:rPr>
                    <w:rFonts w:hAnsi="宋体"/>
                    <w:color w:val="auto"/>
                    <w:sz w:val="21"/>
                    <w:highlight w:val="none"/>
                  </w:rPr>
                  <w:t xml:space="preserve">https://czju.suzhou.gov.cn/zfcg/html/main/index.shtml</w:t>
                </w:r>
                <w:r>
                  <w:rPr>
                    <w:rFonts w:hint="eastAsia" w:hAnsi="宋体"/>
                    <w:color w:val="auto"/>
                    <w:sz w:val="21"/>
                    <w:highlight w:val="none"/>
                  </w:rPr>
                  <w:t xml:space="preserve">）</w:t>
                </w:r>
                <w:r/>
              </w:p>
            </w:sdtContent>
          </w:sdt>
        </w:tc>
      </w:tr>
      <w:tr>
        <w:trPr>
          <w:jc w:val="center"/>
          <w:trHeight w:val="65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25</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35.1</w:t>
            </w:r>
            <w:r/>
          </w:p>
        </w:tc>
        <w:tc>
          <w:tcPr>
            <w:tcW w:w="2835" w:type="dxa"/>
            <w:vAlign w:val="center"/>
            <w:textDirection w:val="lrTb"/>
            <w:noWrap w:val="false"/>
          </w:tcPr>
          <w:p>
            <w:pPr>
              <w:pStyle w:val="1104"/>
              <w:jc w:val="left"/>
              <w:rPr>
                <w:rFonts w:ascii="Times New Roman" w:hAnsi="Times New Roman"/>
                <w:color w:val="auto"/>
                <w:sz w:val="21"/>
                <w:highlight w:val="none"/>
              </w:rPr>
            </w:pPr>
            <w:r>
              <w:rPr>
                <w:rFonts w:ascii="Times New Roman" w:hAnsi="Times New Roman"/>
                <w:color w:val="auto"/>
                <w:sz w:val="21"/>
                <w:highlight w:val="none"/>
              </w:rPr>
              <w:t xml:space="preserve">履约保证金</w:t>
            </w:r>
            <w:r/>
          </w:p>
        </w:tc>
        <w:tc>
          <w:tcPr>
            <w:tcW w:w="4982" w:type="dxa"/>
            <w:vAlign w:val="center"/>
            <w:textDirection w:val="lrTb"/>
            <w:noWrap w:val="false"/>
          </w:tcPr>
          <w:sdt>
            <w:sdtPr>
              <w15:appearance w15:val="boundingBox"/>
              <w:id w:val="-328983114"/>
              <w:placeholder>
                <w:docPart w:val="DefaultPlaceholder_-1854013440"/>
              </w:placeholder>
              <w:rPr>
                <w:rFonts w:ascii="Times New Roman" w:hAnsi="Times New Roman" w:cs="Arial"/>
                <w:bCs/>
                <w:color w:val="auto"/>
                <w:sz w:val="21"/>
                <w:szCs w:val="20"/>
                <w:highlight w:val="none"/>
              </w:rPr>
            </w:sdtPr>
            <w:sdtContent>
              <w:p>
                <w:pPr>
                  <w:pStyle w:val="1104"/>
                  <w:spacing w:line="360" w:lineRule="auto"/>
                  <w:rPr>
                    <w:rFonts w:ascii="Times New Roman" w:hAnsi="Times New Roman"/>
                    <w:bCs/>
                    <w:color w:val="auto"/>
                    <w:sz w:val="21"/>
                    <w:highlight w:val="none"/>
                  </w:rPr>
                </w:pPr>
                <w:r>
                  <w:rPr>
                    <w:rFonts w:ascii="Times New Roman" w:hAnsi="Times New Roman"/>
                    <w:bCs/>
                    <w:color w:val="auto"/>
                    <w:sz w:val="21"/>
                    <w:highlight w:val="none"/>
                  </w:rPr>
                  <w:t xml:space="preserve">■</w:t>
                </w:r>
                <w:r>
                  <w:rPr>
                    <w:rFonts w:hint="eastAsia" w:ascii="Times New Roman" w:hAnsi="Times New Roman"/>
                    <w:bCs/>
                    <w:color w:val="auto"/>
                    <w:sz w:val="21"/>
                    <w:highlight w:val="none"/>
                  </w:rPr>
                  <w:t xml:space="preserve">需要</w:t>
                </w:r>
                <w:r>
                  <w:rPr>
                    <w:rFonts w:ascii="Times New Roman" w:hAnsi="Times New Roman"/>
                    <w:bCs/>
                    <w:color w:val="auto"/>
                    <w:sz w:val="21"/>
                    <w:highlight w:val="none"/>
                  </w:rPr>
                  <w:t xml:space="preserve">提供</w:t>
                </w:r>
                <w:r>
                  <w:rPr>
                    <w:rFonts w:hint="eastAsia" w:ascii="Times New Roman" w:hAnsi="Times New Roman"/>
                    <w:bCs/>
                    <w:color w:val="auto"/>
                    <w:sz w:val="21"/>
                    <w:highlight w:val="none"/>
                  </w:rPr>
                  <w:t xml:space="preserve">，收取中标金额的5%，履约保证金将在中标单位签订合同后7天内支付给采购单位，允许供应商以保函等非现金形式缴纳或提交。履行合同义务，验收合格免费质保两年后20天内，无息退还。</w:t>
                </w:r>
                <w:r/>
              </w:p>
            </w:sdtContent>
          </w:sdt>
        </w:tc>
      </w:tr>
      <w:tr>
        <w:trPr>
          <w:jc w:val="center"/>
          <w:trHeight w:val="406"/>
        </w:trPr>
        <w:tc>
          <w:tcPr>
            <w:tcW w:w="675"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26</w:t>
            </w:r>
            <w:r/>
          </w:p>
        </w:tc>
        <w:tc>
          <w:tcPr>
            <w:tcW w:w="850" w:type="dxa"/>
            <w:vAlign w:val="center"/>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38.1</w:t>
            </w:r>
            <w:r/>
          </w:p>
        </w:tc>
        <w:tc>
          <w:tcPr>
            <w:tcW w:w="2835" w:type="dxa"/>
            <w:vAlign w:val="center"/>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招标代理服务费</w:t>
            </w:r>
            <w:r/>
          </w:p>
        </w:tc>
        <w:tc>
          <w:tcPr>
            <w:tcW w:w="4982" w:type="dxa"/>
            <w:vAlign w:val="center"/>
            <w:textDirection w:val="lrTb"/>
            <w:noWrap w:val="false"/>
          </w:tcPr>
          <w:p>
            <w:pPr>
              <w:pStyle w:val="889"/>
              <w:spacing w:line="360" w:lineRule="auto"/>
              <w:rPr>
                <w:rFonts w:ascii="Times New Roman" w:hAnsi="Times New Roman" w:cs="Times New Roman"/>
                <w:bCs/>
                <w:color w:val="auto"/>
                <w:highlight w:val="none"/>
              </w:rPr>
            </w:pPr>
            <w:r/>
            <w:sdt>
              <w:sdtPr>
                <w15:appearance w15:val="boundingBox"/>
                <w:id w:val="40259252"/>
                <w:placeholder>
                  <w:docPart w:val="DefaultPlaceholder_-1854013440"/>
                </w:placeholder>
                <w:rPr>
                  <w:rFonts w:ascii="Times New Roman" w:hAnsi="Times New Roman" w:cs="Times New Roman"/>
                  <w:bCs/>
                  <w:color w:val="auto"/>
                  <w:highlight w:val="none"/>
                </w:rPr>
              </w:sdtPr>
              <w:sdtContent>
                <w:r>
                  <w:rPr>
                    <w:rFonts w:hint="eastAsia" w:ascii="Times New Roman" w:hAnsi="宋体"/>
                    <w:color w:val="auto"/>
                    <w:sz w:val="20"/>
                    <w:szCs w:val="20"/>
                    <w:highlight w:val="none"/>
                  </w:rPr>
                  <w:t xml:space="preserve">本项目招标代理服务费由中标（成交）供应商支付，支付金额的计算方式以预算金额为基数</w:t>
                </w:r>
                <w:r>
                  <w:rPr>
                    <w:rFonts w:hint="eastAsia" w:hAnsi="宋体"/>
                    <w:color w:val="auto"/>
                    <w:highlight w:val="none"/>
                  </w:rPr>
                  <w:t xml:space="preserve">参照超额定率累进法计算，</w:t>
                </w:r>
                <w:r>
                  <w:rPr>
                    <w:rFonts w:hAnsi="宋体"/>
                    <w:color w:val="auto"/>
                    <w:highlight w:val="none"/>
                  </w:rPr>
                  <w:t xml:space="preserve">100</w:t>
                </w:r>
                <w:r>
                  <w:rPr>
                    <w:rFonts w:hint="eastAsia" w:hAnsi="宋体"/>
                    <w:color w:val="auto"/>
                    <w:highlight w:val="none"/>
                  </w:rPr>
                  <w:t xml:space="preserve">万以下费率为</w:t>
                </w:r>
                <w:r>
                  <w:rPr>
                    <w:rFonts w:hAnsi="宋体"/>
                    <w:color w:val="auto"/>
                    <w:highlight w:val="none"/>
                  </w:rPr>
                  <w:t xml:space="preserve">1.5%</w:t>
                </w:r>
                <w:r>
                  <w:rPr>
                    <w:rFonts w:hint="eastAsia" w:hAnsi="宋体"/>
                    <w:color w:val="auto"/>
                    <w:highlight w:val="none"/>
                  </w:rPr>
                  <w:t xml:space="preserve">，</w:t>
                </w:r>
                <w:r>
                  <w:rPr>
                    <w:rFonts w:hAnsi="宋体"/>
                    <w:color w:val="auto"/>
                    <w:highlight w:val="none"/>
                  </w:rPr>
                  <w:t xml:space="preserve">100-500</w:t>
                </w:r>
                <w:r>
                  <w:rPr>
                    <w:rFonts w:hint="eastAsia" w:hAnsi="宋体"/>
                    <w:color w:val="auto"/>
                    <w:highlight w:val="none"/>
                  </w:rPr>
                  <w:t xml:space="preserve">万费率为</w:t>
                </w:r>
                <w:r>
                  <w:rPr>
                    <w:rFonts w:hAnsi="宋体"/>
                    <w:color w:val="auto"/>
                    <w:highlight w:val="none"/>
                  </w:rPr>
                  <w:t xml:space="preserve">1.1%,</w:t>
                </w:r>
                <w:r>
                  <w:rPr>
                    <w:rFonts w:hint="eastAsia" w:hAnsi="宋体"/>
                    <w:color w:val="auto"/>
                    <w:highlight w:val="none"/>
                  </w:rPr>
                  <w:t xml:space="preserve">在此基础上，按</w:t>
                </w:r>
                <w:r>
                  <w:rPr>
                    <w:rFonts w:hAnsi="宋体"/>
                    <w:color w:val="auto"/>
                    <w:highlight w:val="none"/>
                  </w:rPr>
                  <w:t xml:space="preserve">56%</w:t>
                </w:r>
                <w:r>
                  <w:rPr>
                    <w:rFonts w:hint="eastAsia" w:hAnsi="宋体"/>
                    <w:color w:val="auto"/>
                    <w:highlight w:val="none"/>
                  </w:rPr>
                  <w:t xml:space="preserve">计算计取收费。该项目的代理服务费为人民币6720元，</w:t>
                </w:r>
                <w:r>
                  <w:rPr>
                    <w:rFonts w:hint="eastAsia" w:ascii="Times New Roman" w:hAnsi="宋体"/>
                    <w:color w:val="auto"/>
                    <w:sz w:val="20"/>
                    <w:szCs w:val="20"/>
                    <w:highlight w:val="none"/>
                  </w:rPr>
                  <w:t xml:space="preserve">该费用须在领取中标（成交）通知书时付清。</w:t>
                </w:r>
                <w:r>
                  <w:rPr>
                    <w:rFonts w:hint="eastAsia" w:hAnsi="宋体"/>
                    <w:color w:val="auto"/>
                    <w:highlight w:val="none"/>
                  </w:rPr>
                  <w:t xml:space="preserve">采购代理机构在收到中标服务费后向中标</w:t>
                </w:r>
                <w:r>
                  <w:rPr>
                    <w:rFonts w:hint="eastAsia" w:ascii="Times New Roman" w:hAnsi="宋体"/>
                    <w:color w:val="auto"/>
                    <w:sz w:val="20"/>
                    <w:szCs w:val="20"/>
                    <w:highlight w:val="none"/>
                  </w:rPr>
                  <w:t xml:space="preserve">（成交）</w:t>
                </w:r>
                <w:r>
                  <w:rPr>
                    <w:rFonts w:hint="eastAsia" w:hAnsi="宋体"/>
                    <w:color w:val="auto"/>
                    <w:highlight w:val="none"/>
                  </w:rPr>
                  <w:t xml:space="preserve">供应商开具等额的中标服务费发票。</w:t>
                </w:r>
              </w:sdtContent>
            </w:sdt>
            <w:r/>
            <w:r/>
          </w:p>
        </w:tc>
      </w:tr>
      <w:tr>
        <w:trPr>
          <w:jc w:val="center"/>
          <w:trHeight w:val="600"/>
        </w:trPr>
        <w:tc>
          <w:tcPr>
            <w:tcW w:w="675" w:type="dxa"/>
            <w:vAlign w:val="center"/>
            <w:vMerge w:val="restart"/>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27</w:t>
            </w:r>
            <w:r/>
          </w:p>
        </w:tc>
        <w:tc>
          <w:tcPr>
            <w:tcW w:w="850" w:type="dxa"/>
            <w:vAlign w:val="center"/>
            <w:vMerge w:val="restart"/>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t xml:space="preserve">39.1</w:t>
            </w:r>
            <w:r/>
          </w:p>
        </w:tc>
        <w:tc>
          <w:tcPr>
            <w:tcW w:w="2835" w:type="dxa"/>
            <w:vAlign w:val="center"/>
            <w:vMerge w:val="restart"/>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t xml:space="preserve">其他规定</w:t>
            </w:r>
            <w:r/>
          </w:p>
        </w:tc>
        <w:tc>
          <w:tcPr>
            <w:tcW w:w="4982" w:type="dxa"/>
            <w:vAlign w:val="center"/>
            <w:textDirection w:val="lrTb"/>
            <w:noWrap w:val="false"/>
          </w:tcPr>
          <w:p>
            <w:pPr>
              <w:pStyle w:val="889"/>
              <w:spacing w:line="360" w:lineRule="auto"/>
              <w:rPr>
                <w:rFonts w:ascii="Times New Roman" w:hAnsi="Times New Roman" w:cs="Times New Roman"/>
                <w:bCs/>
                <w:color w:val="auto"/>
                <w:highlight w:val="none"/>
              </w:rPr>
            </w:pPr>
            <w:r>
              <w:rPr>
                <w:rFonts w:ascii="Times New Roman" w:hAnsi="Times New Roman" w:cs="Times New Roman"/>
                <w:color w:val="auto"/>
                <w:highlight w:val="none"/>
              </w:rPr>
              <w:t xml:space="preserve">采购项目类型：</w:t>
            </w:r>
            <w:sdt>
              <w:sdtPr>
                <w15:appearance w15:val="boundingBox"/>
                <w:id w:val="1343126453"/>
                <w:placeholder>
                  <w:docPart w:val="DefaultPlaceholder_-1854013440"/>
                </w:placeholder>
                <w:rPr>
                  <w:rFonts w:ascii="Times New Roman" w:hAnsi="Times New Roman" w:cs="Times New Roman"/>
                  <w:color w:val="auto"/>
                  <w:highlight w:val="none"/>
                </w:rPr>
              </w:sdtPr>
              <w:sdtContent>
                <w:r>
                  <w:rPr>
                    <w:rFonts w:ascii="Times New Roman" w:hAnsi="Times New Roman" w:cs="Times New Roman"/>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r>
            <w:r/>
          </w:p>
        </w:tc>
        <w:tc>
          <w:tcPr>
            <w:tcW w:w="850" w:type="dxa"/>
            <w:vAlign w:val="center"/>
            <w:vMerge w:val="continue"/>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r>
            <w:r/>
          </w:p>
        </w:tc>
        <w:tc>
          <w:tcPr>
            <w:tcW w:w="2835" w:type="dxa"/>
            <w:vAlign w:val="center"/>
            <w:vMerge w:val="continue"/>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c>
        <w:tc>
          <w:tcPr>
            <w:tcW w:w="4982" w:type="dxa"/>
            <w:vAlign w:val="center"/>
            <w:textDirection w:val="lrTb"/>
            <w:noWrap w:val="false"/>
          </w:tcPr>
          <w:p>
            <w:pPr>
              <w:pStyle w:val="889"/>
              <w:spacing w:line="360" w:lineRule="auto"/>
              <w:rPr>
                <w:rFonts w:hint="default" w:ascii="Times New Roman" w:hAnsi="Times New Roman" w:cs="Times New Roman"/>
                <w:bCs/>
                <w:color w:val="auto"/>
                <w:highlight w:val="none"/>
                <w:lang w:val="en-US"/>
              </w:rPr>
            </w:pPr>
            <w:r>
              <w:rPr>
                <w:rFonts w:ascii="Times New Roman" w:hAnsi="Times New Roman" w:cs="Times New Roman"/>
                <w:color w:val="auto"/>
                <w:highlight w:val="none"/>
              </w:rPr>
              <w:t xml:space="preserve">标的对应的中小企业划分标准所属行业：</w:t>
            </w:r>
            <w:r>
              <w:rPr>
                <w:rFonts w:hint="eastAsia" w:ascii="Times New Roman" w:hAnsi="Times New Roman" w:cs="Times New Roman"/>
                <w:color w:val="auto"/>
                <w:highlight w:val="none"/>
                <w:lang w:val="en-US" w:eastAsia="zh-CN"/>
              </w:rPr>
              <w:t xml:space="preserve">软件和信息技术服务业</w:t>
            </w:r>
            <w:r/>
          </w:p>
        </w:tc>
      </w:tr>
      <w:tr>
        <w:trPr>
          <w:jc w:val="center"/>
          <w:trHeight w:val="656"/>
        </w:trPr>
        <w:tc>
          <w:tcPr>
            <w:tcW w:w="675" w:type="dxa"/>
            <w:vAlign w:val="center"/>
            <w:vMerge w:val="continue"/>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r>
            <w:r/>
          </w:p>
        </w:tc>
        <w:tc>
          <w:tcPr>
            <w:tcW w:w="850" w:type="dxa"/>
            <w:vAlign w:val="center"/>
            <w:vMerge w:val="continue"/>
            <w:textDirection w:val="lrTb"/>
            <w:noWrap w:val="false"/>
          </w:tcPr>
          <w:p>
            <w:pPr>
              <w:pStyle w:val="1104"/>
              <w:jc w:val="center"/>
              <w:rPr>
                <w:rFonts w:ascii="Times New Roman" w:hAnsi="Times New Roman"/>
                <w:color w:val="auto"/>
                <w:sz w:val="21"/>
                <w:highlight w:val="none"/>
              </w:rPr>
            </w:pPr>
            <w:r>
              <w:rPr>
                <w:rFonts w:ascii="Times New Roman" w:hAnsi="Times New Roman"/>
                <w:color w:val="auto"/>
                <w:sz w:val="21"/>
                <w:highlight w:val="none"/>
              </w:rPr>
            </w:r>
            <w:r/>
          </w:p>
        </w:tc>
        <w:tc>
          <w:tcPr>
            <w:tcW w:w="2835" w:type="dxa"/>
            <w:vAlign w:val="center"/>
            <w:vMerge w:val="continue"/>
            <w:textDirection w:val="lrTb"/>
            <w:noWrap w:val="false"/>
          </w:tcPr>
          <w:p>
            <w:pPr>
              <w:pStyle w:val="1104"/>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c>
        <w:tc>
          <w:tcPr>
            <w:tcW w:w="4982" w:type="dxa"/>
            <w:vAlign w:val="center"/>
            <w:textDirection w:val="lrTb"/>
            <w:noWrap w:val="false"/>
          </w:tcPr>
          <w:p>
            <w:pPr>
              <w:pStyle w:val="1104"/>
              <w:spacing w:line="360" w:lineRule="auto"/>
              <w:rPr>
                <w:rFonts w:ascii="Times New Roman" w:hAnsi="Times New Roman"/>
                <w:bCs/>
                <w:color w:val="auto"/>
                <w:sz w:val="21"/>
                <w:highlight w:val="none"/>
              </w:rPr>
            </w:pPr>
            <w:r>
              <w:rPr>
                <w:rFonts w:ascii="Times New Roman" w:hAnsi="Times New Roman"/>
                <w:bCs/>
                <w:color w:val="auto"/>
                <w:sz w:val="21"/>
                <w:highlight w:val="none"/>
              </w:rPr>
              <w:t xml:space="preserve">其他规定：</w:t>
            </w:r>
            <w:r>
              <w:rPr>
                <w:rFonts w:ascii="Times New Roman" w:hAnsi="Times New Roman"/>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rPr>
          <w:color w:val="auto"/>
          <w:highlight w:val="none"/>
        </w:rPr>
      </w:pPr>
      <w:r>
        <w:rPr>
          <w:color w:val="auto"/>
          <w:highlight w:val="none"/>
        </w:rPr>
      </w:r>
      <w:r/>
    </w:p>
    <w:p>
      <w:pPr>
        <w:pStyle w:val="889"/>
        <w:ind w:firstLine="1864"/>
        <w:spacing w:line="360" w:lineRule="auto"/>
        <w:rPr>
          <w:rFonts w:ascii="Times New Roman" w:hAnsi="Times New Roman" w:cs="Times New Roman"/>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color w:val="auto"/>
          <w:spacing w:val="100"/>
          <w:sz w:val="72"/>
          <w:highlight w:val="none"/>
        </w:rPr>
      </w:r>
      <w:r/>
    </w:p>
    <w:p>
      <w:pPr>
        <w:pStyle w:val="906"/>
        <w:ind w:firstLine="649"/>
        <w:spacing w:before="156" w:after="156"/>
        <w:rPr>
          <w:rFonts w:ascii="Times New Roman" w:hAnsi="Times New Roman"/>
          <w:color w:val="auto"/>
          <w:highlight w:val="none"/>
        </w:rPr>
      </w:pPr>
      <w:r/>
      <w:bookmarkStart w:id="34" w:name="_Toc100905199"/>
      <w:r/>
      <w:bookmarkStart w:id="35" w:name="_Toc157070967"/>
      <w:r/>
      <w:bookmarkStart w:id="36" w:name="_Toc103848526"/>
      <w:r/>
      <w:bookmarkStart w:id="37" w:name="_Toc107246213"/>
      <w:r/>
      <w:bookmarkStart w:id="38" w:name="_Toc104560837"/>
      <w:r>
        <w:rPr>
          <w:rFonts w:ascii="Times New Roman" w:hAnsi="Times New Roman"/>
          <w:color w:val="auto"/>
          <w:highlight w:val="none"/>
        </w:rPr>
        <w:t xml:space="preserve">投标人须知</w:t>
      </w:r>
      <w:bookmarkEnd w:id="34"/>
      <w:r/>
      <w:bookmarkEnd w:id="35"/>
      <w:r/>
      <w:bookmarkEnd w:id="36"/>
      <w:r/>
      <w:bookmarkEnd w:id="37"/>
      <w:r/>
      <w:bookmarkEnd w:id="38"/>
      <w:r/>
      <w:r/>
    </w:p>
    <w:p>
      <w:pPr>
        <w:pStyle w:val="867"/>
        <w:ind w:left="0" w:right="210" w:firstLine="426"/>
        <w:spacing w:before="156" w:after="156" w:line="360" w:lineRule="auto"/>
        <w:rPr>
          <w:color w:val="auto"/>
          <w:highlight w:val="none"/>
        </w:rPr>
      </w:pPr>
      <w:r/>
      <w:bookmarkStart w:id="39" w:name="_Toc80264706"/>
      <w:r/>
      <w:bookmarkStart w:id="40" w:name="_Toc107246214"/>
      <w:r/>
      <w:bookmarkStart w:id="41" w:name="_Toc157070968"/>
      <w:r>
        <w:rPr>
          <w:color w:val="auto"/>
          <w:highlight w:val="none"/>
        </w:rPr>
        <w:t xml:space="preserve">一．</w:t>
      </w:r>
      <w:bookmarkEnd w:id="39"/>
      <w:r>
        <w:rPr>
          <w:color w:val="auto"/>
          <w:highlight w:val="none"/>
        </w:rPr>
        <w:t xml:space="preserve">总则</w:t>
      </w:r>
      <w:bookmarkEnd w:id="40"/>
      <w:r/>
      <w:bookmarkEnd w:id="41"/>
      <w:r/>
      <w:r/>
    </w:p>
    <w:p>
      <w:pPr>
        <w:pStyle w:val="867"/>
        <w:ind w:left="0" w:right="210" w:firstLine="426"/>
        <w:spacing w:before="156" w:after="156" w:line="360" w:lineRule="auto"/>
        <w:rPr>
          <w:color w:val="auto"/>
          <w:highlight w:val="none"/>
        </w:rPr>
      </w:pPr>
      <w:r/>
      <w:bookmarkStart w:id="42" w:name="_Toc157070969"/>
      <w:r/>
      <w:bookmarkStart w:id="43" w:name="_Toc103848528"/>
      <w:r/>
      <w:bookmarkStart w:id="44" w:name="_Toc96347862"/>
      <w:r/>
      <w:bookmarkStart w:id="45" w:name="_Toc107246215"/>
      <w:r/>
      <w:bookmarkStart w:id="46" w:name="_Toc104560839"/>
      <w:r/>
      <w:bookmarkStart w:id="47" w:name="_Toc100905201"/>
      <w:r>
        <w:rPr>
          <w:color w:val="auto"/>
          <w:highlight w:val="none"/>
        </w:rPr>
        <w:t xml:space="preserve">1.采购方式</w:t>
      </w:r>
      <w:bookmarkEnd w:id="42"/>
      <w:r/>
      <w:bookmarkEnd w:id="43"/>
      <w:r/>
      <w:bookmarkEnd w:id="44"/>
      <w:r/>
      <w:bookmarkEnd w:id="45"/>
      <w:r/>
      <w:bookmarkEnd w:id="46"/>
      <w:r/>
      <w:bookmarkEnd w:id="47"/>
      <w:r/>
      <w:r/>
    </w:p>
    <w:p>
      <w:pPr>
        <w:ind w:firstLine="420"/>
        <w:spacing w:before="156" w:line="360" w:lineRule="auto"/>
        <w:rPr>
          <w:color w:val="auto"/>
          <w:szCs w:val="21"/>
          <w:highlight w:val="none"/>
        </w:rPr>
      </w:pPr>
      <w:r>
        <w:rPr>
          <w:color w:val="auto"/>
          <w:szCs w:val="21"/>
          <w:highlight w:val="none"/>
        </w:rPr>
        <w:t xml:space="preserve">1.1</w:t>
      </w:r>
      <w:r>
        <w:rPr>
          <w:color w:val="auto"/>
          <w:highlight w:val="none"/>
        </w:rPr>
        <w:t xml:space="preserve"> </w:t>
      </w:r>
      <w:r>
        <w:rPr>
          <w:color w:val="auto"/>
          <w:szCs w:val="21"/>
          <w:highlight w:val="none"/>
        </w:rPr>
        <w:t xml:space="preserve">本次招标采取公开招标方式，本招标文件仅适用于招标公告中所述项目。</w:t>
      </w:r>
      <w:r/>
    </w:p>
    <w:p>
      <w:pPr>
        <w:pStyle w:val="867"/>
        <w:ind w:left="0" w:right="210" w:firstLine="426"/>
        <w:spacing w:before="156" w:after="156" w:line="360" w:lineRule="auto"/>
        <w:rPr>
          <w:color w:val="auto"/>
          <w:highlight w:val="none"/>
        </w:rPr>
      </w:pPr>
      <w:r/>
      <w:bookmarkStart w:id="48" w:name="_Toc104560840"/>
      <w:r/>
      <w:bookmarkStart w:id="49" w:name="_Toc96347863"/>
      <w:r/>
      <w:bookmarkStart w:id="50" w:name="_Toc157070970"/>
      <w:r/>
      <w:bookmarkStart w:id="51" w:name="_Toc107246216"/>
      <w:r/>
      <w:bookmarkStart w:id="52" w:name="_Toc103848529"/>
      <w:r/>
      <w:bookmarkStart w:id="53" w:name="_Toc100905202"/>
      <w:r>
        <w:rPr>
          <w:color w:val="auto"/>
          <w:highlight w:val="none"/>
        </w:rPr>
        <w:t xml:space="preserve">2.定义</w:t>
      </w:r>
      <w:bookmarkEnd w:id="48"/>
      <w:r/>
      <w:bookmarkEnd w:id="49"/>
      <w:r/>
      <w:bookmarkEnd w:id="50"/>
      <w:r/>
      <w:bookmarkEnd w:id="51"/>
      <w:r/>
      <w:bookmarkEnd w:id="52"/>
      <w:r/>
      <w:bookmarkEnd w:id="53"/>
      <w:r/>
      <w:r/>
    </w:p>
    <w:p>
      <w:pPr>
        <w:ind w:firstLine="420"/>
        <w:spacing w:before="156" w:line="360" w:lineRule="auto"/>
        <w:rPr>
          <w:bCs/>
          <w:color w:val="auto"/>
          <w:szCs w:val="21"/>
          <w:highlight w:val="none"/>
        </w:rPr>
      </w:pPr>
      <w:r>
        <w:rPr>
          <w:bCs/>
          <w:color w:val="auto"/>
          <w:szCs w:val="21"/>
          <w:highlight w:val="none"/>
        </w:rPr>
        <w:t xml:space="preserve">2.1“采购人”是指依法进行政府采购的国家机关、事业单位、团体组织。本次政府采购的采购人名称、地址、电话、联系人见</w:t>
      </w:r>
      <w:r>
        <w:rPr>
          <w:b/>
          <w:bCs/>
          <w:color w:val="auto"/>
          <w:szCs w:val="21"/>
          <w:highlight w:val="none"/>
        </w:rPr>
        <w:t xml:space="preserve">投标人须知前附表</w:t>
      </w:r>
      <w:r>
        <w:rPr>
          <w:bCs/>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2.2</w:t>
      </w:r>
      <w:r>
        <w:rPr>
          <w:bCs/>
          <w:color w:val="auto"/>
          <w:szCs w:val="21"/>
          <w:highlight w:val="none"/>
        </w:rPr>
        <w:t xml:space="preserve">“</w:t>
      </w:r>
      <w:r>
        <w:rPr>
          <w:color w:val="auto"/>
          <w:szCs w:val="21"/>
          <w:highlight w:val="none"/>
        </w:rPr>
        <w:t xml:space="preserve">采购代理机构</w:t>
      </w:r>
      <w:r>
        <w:rPr>
          <w:bCs/>
          <w:color w:val="auto"/>
          <w:szCs w:val="21"/>
          <w:highlight w:val="none"/>
        </w:rPr>
        <w:t xml:space="preserve">”</w:t>
      </w:r>
      <w:r>
        <w:rPr>
          <w:color w:val="auto"/>
          <w:szCs w:val="21"/>
          <w:highlight w:val="none"/>
        </w:rPr>
        <w:t xml:space="preserve">是指集中采购机构和集中采购机构以外的采购代理机构。本次政府采购的采购代理机构名称、地址、电话、联系人见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bCs/>
          <w:color w:val="auto"/>
          <w:szCs w:val="21"/>
          <w:highlight w:val="none"/>
        </w:rPr>
        <w:t xml:space="preserve">2.3“采购方”是指采购人和</w:t>
      </w:r>
      <w:r>
        <w:rPr>
          <w:color w:val="auto"/>
          <w:szCs w:val="21"/>
          <w:highlight w:val="none"/>
        </w:rPr>
        <w:t xml:space="preserve">采购代理机构的合称。</w:t>
      </w:r>
      <w:r/>
    </w:p>
    <w:p>
      <w:pPr>
        <w:ind w:firstLine="420"/>
        <w:spacing w:before="156" w:line="360" w:lineRule="auto"/>
        <w:rPr>
          <w:color w:val="auto"/>
          <w:szCs w:val="21"/>
          <w:highlight w:val="none"/>
        </w:rPr>
      </w:pPr>
      <w:r>
        <w:rPr>
          <w:color w:val="auto"/>
          <w:szCs w:val="21"/>
          <w:highlight w:val="none"/>
        </w:rPr>
        <w:t xml:space="preserve">2.4</w:t>
      </w:r>
      <w:r>
        <w:rPr>
          <w:bCs/>
          <w:color w:val="auto"/>
          <w:szCs w:val="21"/>
          <w:highlight w:val="none"/>
        </w:rPr>
        <w:t xml:space="preserve">“</w:t>
      </w:r>
      <w:r>
        <w:rPr>
          <w:color w:val="auto"/>
          <w:szCs w:val="21"/>
          <w:highlight w:val="none"/>
        </w:rPr>
        <w:t xml:space="preserve">供应商</w:t>
      </w:r>
      <w:r>
        <w:rPr>
          <w:bCs/>
          <w:color w:val="auto"/>
          <w:szCs w:val="21"/>
          <w:highlight w:val="none"/>
        </w:rPr>
        <w:t xml:space="preserve">”</w:t>
      </w:r>
      <w:r>
        <w:rPr>
          <w:color w:val="auto"/>
          <w:szCs w:val="21"/>
          <w:highlight w:val="none"/>
        </w:rPr>
        <w:t xml:space="preserve">是指向采购人提供货物、工程或者服务的法人、其他组织或者自然人。</w:t>
      </w:r>
      <w:r/>
    </w:p>
    <w:p>
      <w:pPr>
        <w:ind w:firstLine="420"/>
        <w:spacing w:before="156" w:line="360" w:lineRule="auto"/>
        <w:rPr>
          <w:color w:val="auto"/>
          <w:szCs w:val="21"/>
          <w:highlight w:val="none"/>
        </w:rPr>
      </w:pPr>
      <w:r>
        <w:rPr>
          <w:color w:val="auto"/>
          <w:szCs w:val="21"/>
          <w:highlight w:val="none"/>
        </w:rPr>
        <w:t xml:space="preserve">2.5</w:t>
      </w:r>
      <w:r>
        <w:rPr>
          <w:bCs/>
          <w:color w:val="auto"/>
          <w:szCs w:val="21"/>
          <w:highlight w:val="none"/>
        </w:rPr>
        <w:t xml:space="preserve">“</w:t>
      </w:r>
      <w:r>
        <w:rPr>
          <w:color w:val="auto"/>
          <w:szCs w:val="21"/>
          <w:highlight w:val="none"/>
        </w:rPr>
        <w:t xml:space="preserve">中标供应商</w:t>
      </w:r>
      <w:r>
        <w:rPr>
          <w:bCs/>
          <w:color w:val="auto"/>
          <w:szCs w:val="21"/>
          <w:highlight w:val="none"/>
        </w:rPr>
        <w:t xml:space="preserve">”</w:t>
      </w:r>
      <w:r>
        <w:rPr>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color w:val="auto"/>
          <w:szCs w:val="21"/>
          <w:highlight w:val="none"/>
        </w:rPr>
      </w:pPr>
      <w:r>
        <w:rPr>
          <w:color w:val="auto"/>
          <w:szCs w:val="21"/>
          <w:highlight w:val="none"/>
        </w:rPr>
        <w:t xml:space="preserve">2.6</w:t>
      </w:r>
      <w:r>
        <w:rPr>
          <w:bCs/>
          <w:color w:val="auto"/>
          <w:szCs w:val="21"/>
          <w:highlight w:val="none"/>
        </w:rPr>
        <w:t xml:space="preserve">“</w:t>
      </w:r>
      <w:r>
        <w:rPr>
          <w:color w:val="auto"/>
          <w:szCs w:val="21"/>
          <w:highlight w:val="none"/>
        </w:rPr>
        <w:t xml:space="preserve">评标委员会</w:t>
      </w:r>
      <w:r>
        <w:rPr>
          <w:bCs/>
          <w:color w:val="auto"/>
          <w:szCs w:val="21"/>
          <w:highlight w:val="none"/>
        </w:rPr>
        <w:t xml:space="preserve">”</w:t>
      </w:r>
      <w:r>
        <w:rPr>
          <w:color w:val="auto"/>
          <w:szCs w:val="21"/>
          <w:highlight w:val="none"/>
        </w:rPr>
        <w:t xml:space="preserve">是依据政府采购相关法律法规规定组建，依法履行评审采购活动职责的评审成员。</w:t>
      </w:r>
      <w:r/>
    </w:p>
    <w:p>
      <w:pPr>
        <w:ind w:firstLine="420"/>
        <w:spacing w:before="156" w:line="360" w:lineRule="auto"/>
        <w:rPr>
          <w:color w:val="auto"/>
          <w:szCs w:val="21"/>
          <w:highlight w:val="none"/>
        </w:rPr>
      </w:pPr>
      <w:r>
        <w:rPr>
          <w:color w:val="auto"/>
          <w:szCs w:val="21"/>
          <w:highlight w:val="none"/>
        </w:rPr>
        <w:t xml:space="preserve">2.7</w:t>
      </w:r>
      <w:r>
        <w:rPr>
          <w:bCs/>
          <w:color w:val="auto"/>
          <w:szCs w:val="21"/>
          <w:highlight w:val="none"/>
        </w:rPr>
        <w:t xml:space="preserve">“</w:t>
      </w:r>
      <w:r>
        <w:rPr>
          <w:color w:val="auto"/>
          <w:szCs w:val="21"/>
          <w:highlight w:val="none"/>
        </w:rPr>
        <w:t xml:space="preserve">货物</w:t>
      </w:r>
      <w:r>
        <w:rPr>
          <w:bCs/>
          <w:color w:val="auto"/>
          <w:szCs w:val="21"/>
          <w:highlight w:val="none"/>
        </w:rPr>
        <w:t xml:space="preserve">”</w:t>
      </w:r>
      <w:r>
        <w:rPr>
          <w:color w:val="auto"/>
          <w:szCs w:val="21"/>
          <w:highlight w:val="none"/>
        </w:rPr>
        <w:t xml:space="preserve">是指各种形态和种类的物品，包括原材料、燃料、设备、产品等。</w:t>
      </w:r>
      <w:r/>
    </w:p>
    <w:p>
      <w:pPr>
        <w:ind w:firstLine="420"/>
        <w:spacing w:before="156" w:line="360" w:lineRule="auto"/>
        <w:rPr>
          <w:color w:val="auto"/>
          <w:szCs w:val="21"/>
          <w:highlight w:val="none"/>
        </w:rPr>
      </w:pPr>
      <w:r>
        <w:rPr>
          <w:color w:val="auto"/>
          <w:szCs w:val="21"/>
          <w:highlight w:val="none"/>
        </w:rPr>
        <w:t xml:space="preserve">2.8</w:t>
      </w:r>
      <w:r>
        <w:rPr>
          <w:bCs/>
          <w:color w:val="auto"/>
          <w:szCs w:val="21"/>
          <w:highlight w:val="none"/>
        </w:rPr>
        <w:t xml:space="preserve">“</w:t>
      </w:r>
      <w:r>
        <w:rPr>
          <w:color w:val="auto"/>
          <w:szCs w:val="21"/>
          <w:highlight w:val="none"/>
        </w:rPr>
        <w:t xml:space="preserve">工程</w:t>
      </w:r>
      <w:r>
        <w:rPr>
          <w:bCs/>
          <w:color w:val="auto"/>
          <w:szCs w:val="21"/>
          <w:highlight w:val="none"/>
        </w:rPr>
        <w:t xml:space="preserve">”</w:t>
      </w:r>
      <w:r>
        <w:rPr>
          <w:color w:val="auto"/>
          <w:szCs w:val="21"/>
          <w:highlight w:val="none"/>
        </w:rPr>
        <w:t xml:space="preserve">是指建设工程，包括建筑物和构筑物的新建、改建、扩建、装修、拆除、修缮等。</w:t>
      </w:r>
      <w:r/>
    </w:p>
    <w:p>
      <w:pPr>
        <w:ind w:firstLine="420"/>
        <w:spacing w:before="156" w:line="360" w:lineRule="auto"/>
        <w:rPr>
          <w:color w:val="auto"/>
          <w:szCs w:val="21"/>
          <w:highlight w:val="none"/>
        </w:rPr>
      </w:pPr>
      <w:r>
        <w:rPr>
          <w:color w:val="auto"/>
          <w:szCs w:val="21"/>
          <w:highlight w:val="none"/>
        </w:rPr>
        <w:t xml:space="preserve">2.9</w:t>
      </w:r>
      <w:r>
        <w:rPr>
          <w:bCs/>
          <w:color w:val="auto"/>
          <w:szCs w:val="21"/>
          <w:highlight w:val="none"/>
        </w:rPr>
        <w:t xml:space="preserve">“</w:t>
      </w:r>
      <w:r>
        <w:rPr>
          <w:color w:val="auto"/>
          <w:szCs w:val="21"/>
          <w:highlight w:val="none"/>
        </w:rPr>
        <w:t xml:space="preserve">服务</w:t>
      </w:r>
      <w:r>
        <w:rPr>
          <w:bCs/>
          <w:color w:val="auto"/>
          <w:szCs w:val="21"/>
          <w:highlight w:val="none"/>
        </w:rPr>
        <w:t xml:space="preserve">”</w:t>
      </w:r>
      <w:r>
        <w:rPr>
          <w:color w:val="auto"/>
          <w:szCs w:val="21"/>
          <w:highlight w:val="none"/>
        </w:rPr>
        <w:t xml:space="preserve">是指除货物和工程以外的其他政府采购对象。</w:t>
      </w:r>
      <w:r/>
    </w:p>
    <w:p>
      <w:pPr>
        <w:ind w:firstLine="420"/>
        <w:spacing w:before="156" w:line="360" w:lineRule="auto"/>
        <w:rPr>
          <w:color w:val="auto"/>
          <w:szCs w:val="21"/>
          <w:highlight w:val="none"/>
        </w:rPr>
      </w:pPr>
      <w:r>
        <w:rPr>
          <w:color w:val="auto"/>
          <w:szCs w:val="21"/>
          <w:highlight w:val="none"/>
        </w:rPr>
        <w:t xml:space="preserve">2.10</w:t>
      </w:r>
      <w:r>
        <w:rPr>
          <w:bCs/>
          <w:color w:val="auto"/>
          <w:szCs w:val="21"/>
          <w:highlight w:val="none"/>
        </w:rPr>
        <w:t xml:space="preserve">“</w:t>
      </w:r>
      <w:r>
        <w:rPr>
          <w:color w:val="auto"/>
          <w:szCs w:val="21"/>
          <w:highlight w:val="none"/>
        </w:rPr>
        <w:t xml:space="preserve">节能产品</w:t>
      </w:r>
      <w:r>
        <w:rPr>
          <w:bCs/>
          <w:color w:val="auto"/>
          <w:szCs w:val="21"/>
          <w:highlight w:val="none"/>
        </w:rPr>
        <w:t xml:space="preserve">”</w:t>
      </w:r>
      <w:r>
        <w:rPr>
          <w:color w:val="auto"/>
          <w:szCs w:val="21"/>
          <w:highlight w:val="none"/>
        </w:rPr>
        <w:t xml:space="preserve">或者</w:t>
      </w:r>
      <w:r>
        <w:rPr>
          <w:bCs/>
          <w:color w:val="auto"/>
          <w:szCs w:val="21"/>
          <w:highlight w:val="none"/>
        </w:rPr>
        <w:t xml:space="preserve">“</w:t>
      </w:r>
      <w:r>
        <w:rPr>
          <w:color w:val="auto"/>
          <w:szCs w:val="21"/>
          <w:highlight w:val="none"/>
        </w:rPr>
        <w:t xml:space="preserve">环保产品</w:t>
      </w:r>
      <w:r>
        <w:rPr>
          <w:bCs/>
          <w:color w:val="auto"/>
          <w:szCs w:val="21"/>
          <w:highlight w:val="none"/>
        </w:rPr>
        <w:t xml:space="preserve">”</w:t>
      </w:r>
      <w:r>
        <w:rPr>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color w:val="auto"/>
          <w:szCs w:val="21"/>
          <w:highlight w:val="none"/>
        </w:rPr>
      </w:pPr>
      <w:r>
        <w:rPr>
          <w:color w:val="auto"/>
          <w:szCs w:val="21"/>
          <w:highlight w:val="none"/>
        </w:rPr>
        <w:t xml:space="preserve">2.11</w:t>
      </w:r>
      <w:r>
        <w:rPr>
          <w:bCs/>
          <w:color w:val="auto"/>
          <w:szCs w:val="21"/>
          <w:highlight w:val="none"/>
        </w:rPr>
        <w:t xml:space="preserve">“</w:t>
      </w:r>
      <w:r>
        <w:rPr>
          <w:color w:val="auto"/>
          <w:szCs w:val="21"/>
          <w:highlight w:val="none"/>
        </w:rPr>
        <w:t xml:space="preserve">进口产品</w:t>
      </w:r>
      <w:r>
        <w:rPr>
          <w:bCs/>
          <w:color w:val="auto"/>
          <w:szCs w:val="21"/>
          <w:highlight w:val="none"/>
        </w:rPr>
        <w:t xml:space="preserve">”</w:t>
      </w:r>
      <w:r>
        <w:rPr>
          <w:color w:val="auto"/>
          <w:szCs w:val="21"/>
          <w:highlight w:val="none"/>
        </w:rPr>
        <w:t xml:space="preserve">是指通过中国海关报关验放进入中国境内且产自关境外的产品。</w:t>
      </w:r>
      <w:r/>
    </w:p>
    <w:p>
      <w:pPr>
        <w:pStyle w:val="867"/>
        <w:ind w:left="0" w:right="210" w:firstLine="426"/>
        <w:spacing w:before="156" w:after="156" w:line="360" w:lineRule="auto"/>
        <w:rPr>
          <w:color w:val="auto"/>
          <w:highlight w:val="none"/>
        </w:rPr>
      </w:pPr>
      <w:r/>
      <w:bookmarkStart w:id="54" w:name="_Toc96347864"/>
      <w:r/>
      <w:bookmarkStart w:id="55" w:name="_Toc103848530"/>
      <w:r/>
      <w:bookmarkStart w:id="56" w:name="_Toc107246217"/>
      <w:r/>
      <w:bookmarkStart w:id="57" w:name="_Toc157070971"/>
      <w:r/>
      <w:bookmarkStart w:id="58" w:name="_Toc100905203"/>
      <w:r/>
      <w:bookmarkStart w:id="59" w:name="_Toc104560841"/>
      <w:r>
        <w:rPr>
          <w:color w:val="auto"/>
          <w:highlight w:val="none"/>
        </w:rPr>
        <w:t xml:space="preserve">3.适用法律</w:t>
      </w:r>
      <w:bookmarkEnd w:id="54"/>
      <w:r/>
      <w:bookmarkEnd w:id="55"/>
      <w:r/>
      <w:bookmarkEnd w:id="56"/>
      <w:r/>
      <w:bookmarkEnd w:id="57"/>
      <w:r/>
      <w:bookmarkEnd w:id="58"/>
      <w:r/>
      <w:bookmarkEnd w:id="59"/>
      <w:r/>
      <w:r/>
    </w:p>
    <w:p>
      <w:pPr>
        <w:ind w:firstLine="420"/>
        <w:spacing w:before="156" w:line="360" w:lineRule="auto"/>
        <w:rPr>
          <w:color w:val="auto"/>
          <w:szCs w:val="21"/>
          <w:highlight w:val="none"/>
        </w:rPr>
      </w:pPr>
      <w:r/>
      <w:bookmarkStart w:id="60" w:name="_Toc100905204"/>
      <w:r>
        <w:rPr>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67"/>
        <w:ind w:left="0" w:right="210" w:firstLine="426"/>
        <w:spacing w:before="156" w:after="156" w:line="360" w:lineRule="auto"/>
        <w:rPr>
          <w:color w:val="auto"/>
          <w:highlight w:val="none"/>
        </w:rPr>
      </w:pPr>
      <w:r/>
      <w:bookmarkStart w:id="61" w:name="_Toc103848531"/>
      <w:r/>
      <w:bookmarkStart w:id="62" w:name="_Toc104560842"/>
      <w:r/>
      <w:bookmarkStart w:id="63" w:name="_Toc107246218"/>
      <w:r/>
      <w:bookmarkStart w:id="64" w:name="_Toc157070972"/>
      <w:r>
        <w:rPr>
          <w:color w:val="auto"/>
          <w:highlight w:val="none"/>
        </w:rPr>
        <w:t xml:space="preserve">4.</w:t>
      </w:r>
      <w:bookmarkEnd w:id="61"/>
      <w:r>
        <w:rPr>
          <w:color w:val="auto"/>
          <w:highlight w:val="none"/>
        </w:rPr>
        <w:t xml:space="preserve">政府采购政策（包括但不限于下列具体政策要求）</w:t>
      </w:r>
      <w:bookmarkEnd w:id="62"/>
      <w:r/>
      <w:bookmarkEnd w:id="63"/>
      <w:r/>
      <w:bookmarkEnd w:id="64"/>
      <w:r/>
      <w:r/>
    </w:p>
    <w:p>
      <w:pPr>
        <w:ind w:firstLine="422"/>
        <w:spacing w:before="156" w:line="360" w:lineRule="auto"/>
        <w:rPr>
          <w:b/>
          <w:color w:val="auto"/>
          <w:szCs w:val="21"/>
          <w:highlight w:val="none"/>
        </w:rPr>
      </w:pPr>
      <w:r>
        <w:rPr>
          <w:b/>
          <w:color w:val="auto"/>
          <w:szCs w:val="21"/>
          <w:highlight w:val="none"/>
        </w:rPr>
        <w:t xml:space="preserve">4.1中小企业、监狱企业及残疾人福利性单位</w:t>
      </w:r>
      <w:r/>
    </w:p>
    <w:p>
      <w:pPr>
        <w:ind w:firstLine="420"/>
        <w:spacing w:before="156" w:line="360" w:lineRule="auto"/>
        <w:rPr>
          <w:color w:val="auto"/>
          <w:szCs w:val="21"/>
          <w:highlight w:val="none"/>
        </w:rPr>
      </w:pPr>
      <w:r>
        <w:rPr>
          <w:color w:val="auto"/>
          <w:szCs w:val="21"/>
          <w:highlight w:val="none"/>
        </w:rPr>
        <w:t xml:space="preserve">4.1.1中小企业定义：</w:t>
      </w:r>
      <w:r/>
    </w:p>
    <w:p>
      <w:pPr>
        <w:ind w:firstLine="420"/>
        <w:spacing w:before="156" w:line="360" w:lineRule="auto"/>
        <w:rPr>
          <w:color w:val="auto"/>
          <w:szCs w:val="21"/>
          <w:highlight w:val="none"/>
        </w:rPr>
      </w:pPr>
      <w:r>
        <w:rPr>
          <w:color w:val="auto"/>
          <w:szCs w:val="21"/>
          <w:highlight w:val="none"/>
        </w:rPr>
        <w:t xml:space="preserve">4.1.1.1中小企业是</w:t>
      </w:r>
      <w:r>
        <w:rPr>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color w:val="auto"/>
          <w:szCs w:val="21"/>
          <w:highlight w:val="none"/>
        </w:rPr>
      </w:pPr>
      <w:r>
        <w:rPr>
          <w:color w:val="auto"/>
          <w:szCs w:val="21"/>
          <w:highlight w:val="none"/>
        </w:rPr>
        <w:t xml:space="preserve">4.1.1.2供应商提供的货物、工程或者服务符合下列情形的，享受中小企业扶持政策：</w:t>
      </w:r>
      <w:r/>
    </w:p>
    <w:p>
      <w:pPr>
        <w:ind w:firstLine="315"/>
        <w:jc w:val="left"/>
        <w:spacing w:line="360" w:lineRule="auto"/>
        <w:rPr>
          <w:color w:val="auto"/>
          <w:szCs w:val="21"/>
          <w:highlight w:val="none"/>
        </w:rPr>
      </w:pPr>
      <w:r>
        <w:rPr>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color w:val="auto"/>
          <w:szCs w:val="21"/>
          <w:highlight w:val="none"/>
        </w:rPr>
      </w:pPr>
      <w:r>
        <w:rPr>
          <w:color w:val="auto"/>
          <w:szCs w:val="21"/>
          <w:highlight w:val="none"/>
        </w:rPr>
        <w:t xml:space="preserve">（2）在工程采购项目中，工程由中小企业承建，即工程施工单位为中小企业；</w:t>
      </w:r>
      <w:r/>
    </w:p>
    <w:p>
      <w:pPr>
        <w:ind w:firstLine="315"/>
        <w:jc w:val="left"/>
        <w:spacing w:line="360" w:lineRule="auto"/>
        <w:rPr>
          <w:color w:val="auto"/>
          <w:szCs w:val="21"/>
          <w:highlight w:val="none"/>
        </w:rPr>
      </w:pPr>
      <w:r>
        <w:rPr>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color w:val="auto"/>
          <w:szCs w:val="21"/>
          <w:highlight w:val="none"/>
        </w:rPr>
      </w:pPr>
      <w:r>
        <w:rPr>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color w:val="auto"/>
          <w:szCs w:val="21"/>
          <w:highlight w:val="none"/>
        </w:rPr>
      </w:pPr>
      <w:r>
        <w:rPr>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color w:val="auto"/>
          <w:szCs w:val="21"/>
          <w:highlight w:val="none"/>
        </w:rPr>
      </w:pPr>
      <w:r>
        <w:rPr>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color w:val="auto"/>
          <w:szCs w:val="21"/>
          <w:highlight w:val="none"/>
        </w:rPr>
      </w:pPr>
      <w:r>
        <w:rPr>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color w:val="auto"/>
          <w:szCs w:val="21"/>
          <w:highlight w:val="none"/>
        </w:rPr>
      </w:pPr>
      <w:r>
        <w:rPr>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color w:val="auto"/>
          <w:szCs w:val="21"/>
          <w:highlight w:val="none"/>
        </w:rPr>
      </w:pPr>
      <w:r>
        <w:rPr>
          <w:color w:val="auto"/>
          <w:szCs w:val="21"/>
          <w:highlight w:val="none"/>
        </w:rPr>
        <w:t xml:space="preserve">（2）依法与安置的每位残疾人签订了一年以上（含一年）的劳动合同或服务协议；</w:t>
      </w:r>
      <w:r/>
    </w:p>
    <w:p>
      <w:pPr>
        <w:ind w:firstLine="315"/>
        <w:jc w:val="left"/>
        <w:spacing w:line="360" w:lineRule="auto"/>
        <w:rPr>
          <w:color w:val="auto"/>
          <w:szCs w:val="21"/>
          <w:highlight w:val="none"/>
        </w:rPr>
      </w:pPr>
      <w:r>
        <w:rPr>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color w:val="auto"/>
          <w:szCs w:val="21"/>
          <w:highlight w:val="none"/>
        </w:rPr>
      </w:pPr>
      <w:r>
        <w:rPr>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color w:val="auto"/>
          <w:szCs w:val="21"/>
          <w:highlight w:val="none"/>
        </w:rPr>
      </w:pPr>
      <w:r>
        <w:rPr>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color w:val="auto"/>
          <w:szCs w:val="21"/>
          <w:highlight w:val="none"/>
        </w:rPr>
      </w:pPr>
      <w:r>
        <w:rPr>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b/>
          <w:color w:val="auto"/>
          <w:szCs w:val="21"/>
          <w:highlight w:val="none"/>
        </w:rPr>
      </w:pPr>
      <w:r>
        <w:rPr>
          <w:color w:val="auto"/>
          <w:szCs w:val="21"/>
          <w:highlight w:val="none"/>
        </w:rPr>
        <w:t xml:space="preserve">4.1.4小微企业价格评审优惠的政策调整：见第五章《评标方法与评标标准》（如涉及）。</w:t>
      </w:r>
      <w:r/>
    </w:p>
    <w:p>
      <w:pPr>
        <w:ind w:firstLine="422"/>
        <w:spacing w:before="156" w:line="360" w:lineRule="auto"/>
        <w:rPr>
          <w:b/>
          <w:color w:val="auto"/>
          <w:szCs w:val="21"/>
          <w:highlight w:val="none"/>
        </w:rPr>
      </w:pPr>
      <w:r>
        <w:rPr>
          <w:b/>
          <w:color w:val="auto"/>
          <w:szCs w:val="21"/>
          <w:highlight w:val="none"/>
        </w:rPr>
        <w:t xml:space="preserve">4.2政府采购节能产品、环境标志产品</w:t>
      </w:r>
      <w:r/>
    </w:p>
    <w:p>
      <w:pPr>
        <w:ind w:firstLine="420"/>
        <w:spacing w:before="156" w:line="360" w:lineRule="auto"/>
        <w:rPr>
          <w:color w:val="auto"/>
          <w:szCs w:val="21"/>
          <w:highlight w:val="none"/>
        </w:rPr>
      </w:pPr>
      <w:r>
        <w:rPr>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color w:val="auto"/>
          <w:szCs w:val="21"/>
          <w:highlight w:val="none"/>
        </w:rPr>
      </w:pPr>
      <w:r>
        <w:rPr>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color w:val="auto"/>
          <w:szCs w:val="21"/>
          <w:highlight w:val="none"/>
        </w:rPr>
      </w:pPr>
      <w:r>
        <w:rPr>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color w:val="auto"/>
          <w:szCs w:val="21"/>
          <w:highlight w:val="none"/>
        </w:rPr>
      </w:pPr>
      <w:r>
        <w:rPr>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60" w:lineRule="auto"/>
        <w:rPr>
          <w:b/>
          <w:color w:val="auto"/>
          <w:szCs w:val="21"/>
          <w:highlight w:val="none"/>
        </w:rPr>
      </w:pPr>
      <w:r>
        <w:rPr>
          <w:b/>
          <w:color w:val="auto"/>
          <w:szCs w:val="21"/>
          <w:highlight w:val="none"/>
        </w:rPr>
        <w:t xml:space="preserve">4.3信息安全产品</w:t>
      </w:r>
      <w:r/>
    </w:p>
    <w:p>
      <w:pPr>
        <w:ind w:firstLine="420"/>
        <w:spacing w:before="156" w:line="360" w:lineRule="auto"/>
        <w:rPr>
          <w:color w:val="auto"/>
          <w:szCs w:val="21"/>
          <w:highlight w:val="none"/>
        </w:rPr>
      </w:pPr>
      <w:r>
        <w:rPr>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color w:val="auto"/>
          <w:szCs w:val="21"/>
          <w:highlight w:val="none"/>
        </w:rPr>
      </w:pPr>
      <w:r>
        <w:rPr>
          <w:color w:val="auto"/>
          <w:szCs w:val="21"/>
          <w:highlight w:val="none"/>
        </w:rPr>
        <w:t xml:space="preserve">4.4未按要求提供相关材料的，不享受相关政策。</w:t>
      </w:r>
      <w:bookmarkEnd w:id="60"/>
      <w:r/>
      <w:r/>
    </w:p>
    <w:p>
      <w:pPr>
        <w:pStyle w:val="867"/>
        <w:ind w:left="0" w:right="210" w:firstLine="426"/>
        <w:spacing w:before="156" w:after="156" w:line="360" w:lineRule="auto"/>
        <w:rPr>
          <w:color w:val="auto"/>
          <w:highlight w:val="none"/>
        </w:rPr>
      </w:pPr>
      <w:r/>
      <w:bookmarkStart w:id="65" w:name="_Toc157070973"/>
      <w:r/>
      <w:bookmarkStart w:id="66" w:name="_Toc103848532"/>
      <w:r/>
      <w:bookmarkStart w:id="67" w:name="_Toc96347865"/>
      <w:r/>
      <w:bookmarkStart w:id="68" w:name="_Toc100905205"/>
      <w:r/>
      <w:bookmarkStart w:id="69" w:name="_Toc107246219"/>
      <w:r/>
      <w:bookmarkStart w:id="70" w:name="_Toc104560843"/>
      <w:r>
        <w:rPr>
          <w:color w:val="auto"/>
          <w:highlight w:val="none"/>
        </w:rPr>
        <w:t xml:space="preserve">5.相关费用</w:t>
      </w:r>
      <w:bookmarkEnd w:id="65"/>
      <w:r/>
      <w:bookmarkEnd w:id="66"/>
      <w:r/>
      <w:bookmarkEnd w:id="67"/>
      <w:r/>
      <w:bookmarkEnd w:id="68"/>
      <w:r/>
      <w:bookmarkEnd w:id="69"/>
      <w:r/>
      <w:bookmarkEnd w:id="70"/>
      <w:r/>
      <w:r/>
    </w:p>
    <w:p>
      <w:pPr>
        <w:ind w:firstLine="420"/>
        <w:spacing w:before="156" w:line="360" w:lineRule="auto"/>
        <w:rPr>
          <w:color w:val="auto"/>
          <w:szCs w:val="21"/>
          <w:highlight w:val="none"/>
        </w:rPr>
      </w:pPr>
      <w:r>
        <w:rPr>
          <w:color w:val="auto"/>
          <w:szCs w:val="21"/>
          <w:highlight w:val="none"/>
        </w:rPr>
        <w:t xml:space="preserve">5.1</w:t>
      </w:r>
      <w:bookmarkStart w:id="71" w:name="_Toc80264707"/>
      <w:r>
        <w:rPr>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67"/>
        <w:ind w:left="0" w:right="210" w:firstLine="426"/>
        <w:spacing w:before="156" w:after="156" w:line="360" w:lineRule="auto"/>
        <w:rPr>
          <w:color w:val="auto"/>
          <w:highlight w:val="none"/>
        </w:rPr>
      </w:pPr>
      <w:r/>
      <w:bookmarkStart w:id="72" w:name="_Toc157070974"/>
      <w:r/>
      <w:bookmarkStart w:id="73" w:name="_Toc103848533"/>
      <w:r/>
      <w:bookmarkStart w:id="74" w:name="_Toc104560844"/>
      <w:r/>
      <w:bookmarkStart w:id="75" w:name="_Toc107246220"/>
      <w:r/>
      <w:bookmarkStart w:id="76" w:name="_Toc96347866"/>
      <w:r/>
      <w:bookmarkStart w:id="77" w:name="_Toc100905206"/>
      <w:r>
        <w:rPr>
          <w:color w:val="auto"/>
          <w:highlight w:val="none"/>
        </w:rPr>
        <w:t xml:space="preserve">6.保密</w:t>
      </w:r>
      <w:bookmarkEnd w:id="72"/>
      <w:r/>
      <w:bookmarkEnd w:id="73"/>
      <w:r/>
      <w:bookmarkEnd w:id="74"/>
      <w:r/>
      <w:bookmarkEnd w:id="75"/>
      <w:r/>
      <w:bookmarkEnd w:id="76"/>
      <w:r/>
      <w:bookmarkEnd w:id="77"/>
      <w:r/>
      <w:r/>
    </w:p>
    <w:p>
      <w:pPr>
        <w:ind w:firstLine="420"/>
        <w:spacing w:before="156" w:line="360" w:lineRule="auto"/>
        <w:rPr>
          <w:color w:val="auto"/>
          <w:szCs w:val="21"/>
          <w:highlight w:val="none"/>
        </w:rPr>
      </w:pPr>
      <w:r/>
      <w:bookmarkStart w:id="78" w:name="_Toc96347867"/>
      <w:r/>
      <w:bookmarkStart w:id="79" w:name="_Toc100905207"/>
      <w:r>
        <w:rPr>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67"/>
        <w:ind w:left="0" w:right="210" w:firstLine="426"/>
        <w:spacing w:before="156" w:after="156" w:line="360" w:lineRule="auto"/>
        <w:rPr>
          <w:color w:val="auto"/>
          <w:highlight w:val="none"/>
        </w:rPr>
      </w:pPr>
      <w:r/>
      <w:bookmarkStart w:id="80" w:name="_Toc157070975"/>
      <w:r/>
      <w:bookmarkStart w:id="81" w:name="_Toc107246221"/>
      <w:r/>
      <w:bookmarkStart w:id="82" w:name="_Toc103848534"/>
      <w:r/>
      <w:bookmarkStart w:id="83" w:name="_Toc104560845"/>
      <w:r>
        <w:rPr>
          <w:color w:val="auto"/>
          <w:highlight w:val="none"/>
        </w:rPr>
        <w:t xml:space="preserve">7.语言文字、计量单位</w:t>
      </w:r>
      <w:bookmarkEnd w:id="78"/>
      <w:r/>
      <w:bookmarkEnd w:id="79"/>
      <w:r/>
      <w:bookmarkEnd w:id="80"/>
      <w:r/>
      <w:bookmarkEnd w:id="81"/>
      <w:r/>
      <w:bookmarkEnd w:id="82"/>
      <w:r/>
      <w:bookmarkEnd w:id="83"/>
      <w:r/>
      <w:r/>
    </w:p>
    <w:p>
      <w:pPr>
        <w:ind w:firstLine="420"/>
        <w:spacing w:before="156" w:line="360" w:lineRule="auto"/>
        <w:rPr>
          <w:color w:val="auto"/>
          <w:szCs w:val="21"/>
          <w:highlight w:val="none"/>
        </w:rPr>
      </w:pPr>
      <w:r>
        <w:rPr>
          <w:color w:val="auto"/>
          <w:szCs w:val="21"/>
          <w:highlight w:val="none"/>
        </w:rPr>
        <w:t xml:space="preserve">7.1所有文件使用的语言文字为中文。专用术语使用外文的，应附有中文注释。</w:t>
      </w:r>
      <w:r/>
    </w:p>
    <w:p>
      <w:pPr>
        <w:ind w:firstLine="420"/>
        <w:spacing w:before="156" w:line="360" w:lineRule="auto"/>
        <w:rPr>
          <w:color w:val="auto"/>
          <w:szCs w:val="21"/>
          <w:highlight w:val="none"/>
        </w:rPr>
      </w:pPr>
      <w:r>
        <w:rPr>
          <w:color w:val="auto"/>
          <w:szCs w:val="21"/>
          <w:highlight w:val="none"/>
        </w:rPr>
        <w:t xml:space="preserve">7.2所有文件中的计量单位，除招标文件有特殊要求外，应采用国家法定计量单位。</w:t>
      </w:r>
      <w:r/>
    </w:p>
    <w:p>
      <w:pPr>
        <w:pStyle w:val="867"/>
        <w:ind w:left="0" w:right="210" w:firstLine="426"/>
        <w:spacing w:before="156" w:after="156" w:line="360" w:lineRule="auto"/>
        <w:rPr>
          <w:color w:val="auto"/>
          <w:highlight w:val="none"/>
        </w:rPr>
      </w:pPr>
      <w:r/>
      <w:bookmarkStart w:id="84" w:name="_Toc107246222"/>
      <w:r/>
      <w:bookmarkStart w:id="85" w:name="_Toc104560846"/>
      <w:r/>
      <w:bookmarkStart w:id="86" w:name="_Toc100905208"/>
      <w:r/>
      <w:bookmarkStart w:id="87" w:name="_Toc157070976"/>
      <w:r/>
      <w:bookmarkStart w:id="88" w:name="_Toc96347868"/>
      <w:r/>
      <w:bookmarkStart w:id="89" w:name="_Toc103848535"/>
      <w:r>
        <w:rPr>
          <w:color w:val="auto"/>
          <w:highlight w:val="none"/>
        </w:rPr>
        <w:t xml:space="preserve">8.现场考察</w:t>
      </w:r>
      <w:bookmarkEnd w:id="84"/>
      <w:r/>
      <w:bookmarkEnd w:id="85"/>
      <w:r/>
      <w:bookmarkEnd w:id="86"/>
      <w:r/>
      <w:bookmarkEnd w:id="87"/>
      <w:r/>
      <w:bookmarkEnd w:id="88"/>
      <w:r/>
      <w:bookmarkEnd w:id="89"/>
      <w:r/>
      <w:r/>
    </w:p>
    <w:p>
      <w:pPr>
        <w:ind w:firstLine="420"/>
        <w:spacing w:before="156" w:line="360" w:lineRule="auto"/>
        <w:rPr>
          <w:color w:val="auto"/>
          <w:szCs w:val="21"/>
          <w:highlight w:val="none"/>
        </w:rPr>
      </w:pPr>
      <w:r>
        <w:rPr>
          <w:color w:val="auto"/>
          <w:szCs w:val="21"/>
          <w:highlight w:val="none"/>
        </w:rPr>
        <w:t xml:space="preserve">8.1</w:t>
      </w:r>
      <w:r>
        <w:rPr>
          <w:b/>
          <w:color w:val="auto"/>
          <w:szCs w:val="21"/>
          <w:highlight w:val="none"/>
        </w:rPr>
        <w:t xml:space="preserve">投标人须知前附表</w:t>
      </w:r>
      <w:r>
        <w:rPr>
          <w:color w:val="auto"/>
          <w:szCs w:val="21"/>
          <w:highlight w:val="none"/>
        </w:rPr>
        <w:t xml:space="preserve">规定现场考察的，供应商须按照</w:t>
      </w:r>
      <w:r>
        <w:rPr>
          <w:b/>
          <w:color w:val="auto"/>
          <w:szCs w:val="21"/>
          <w:highlight w:val="none"/>
        </w:rPr>
        <w:t xml:space="preserve">投标人须知前附表</w:t>
      </w:r>
      <w:r>
        <w:rPr>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before="156" w:line="360" w:lineRule="auto"/>
        <w:rPr>
          <w:color w:val="auto"/>
          <w:szCs w:val="21"/>
          <w:highlight w:val="none"/>
        </w:rPr>
      </w:pPr>
      <w:r>
        <w:rPr>
          <w:color w:val="auto"/>
          <w:szCs w:val="21"/>
          <w:highlight w:val="none"/>
        </w:rPr>
        <w:t xml:space="preserve">8.2供应商不按照</w:t>
      </w:r>
      <w:r>
        <w:rPr>
          <w:bCs/>
          <w:color w:val="auto"/>
          <w:szCs w:val="21"/>
          <w:highlight w:val="none"/>
        </w:rPr>
        <w:t xml:space="preserve">本须知的规定</w:t>
      </w:r>
      <w:r>
        <w:rPr>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before="156" w:line="360" w:lineRule="auto"/>
        <w:rPr>
          <w:color w:val="auto"/>
          <w:szCs w:val="21"/>
          <w:highlight w:val="none"/>
        </w:rPr>
      </w:pPr>
      <w:r>
        <w:rPr>
          <w:color w:val="auto"/>
          <w:szCs w:val="21"/>
          <w:highlight w:val="none"/>
        </w:rPr>
        <w:t xml:space="preserve">8.3除非有特殊要求，招标文件不提供项目所在地的自然环境、气候条件、公用设施等情况，供应商被视为熟悉上述与履行合同有关的一切情况。</w:t>
      </w:r>
      <w:r/>
    </w:p>
    <w:p>
      <w:pPr>
        <w:pStyle w:val="867"/>
        <w:ind w:left="0" w:right="210" w:firstLine="426"/>
        <w:spacing w:before="156" w:after="156" w:line="360" w:lineRule="auto"/>
        <w:rPr>
          <w:color w:val="auto"/>
          <w:highlight w:val="none"/>
        </w:rPr>
      </w:pPr>
      <w:r/>
      <w:bookmarkStart w:id="90" w:name="_Toc102117275"/>
      <w:r/>
      <w:bookmarkStart w:id="91" w:name="_Toc107246223"/>
      <w:r/>
      <w:bookmarkStart w:id="92" w:name="_Toc157070977"/>
      <w:r>
        <w:rPr>
          <w:color w:val="auto"/>
          <w:highlight w:val="none"/>
        </w:rPr>
        <w:t xml:space="preserve">9.开标前答疑会</w:t>
      </w:r>
      <w:bookmarkEnd w:id="90"/>
      <w:r/>
      <w:bookmarkEnd w:id="91"/>
      <w:r/>
      <w:bookmarkEnd w:id="92"/>
      <w:r/>
      <w:r/>
    </w:p>
    <w:p>
      <w:pPr>
        <w:ind w:firstLine="420"/>
        <w:spacing w:before="156" w:line="360" w:lineRule="auto"/>
        <w:rPr>
          <w:color w:val="auto"/>
          <w:szCs w:val="21"/>
          <w:highlight w:val="none"/>
        </w:rPr>
      </w:pPr>
      <w:r>
        <w:rPr>
          <w:color w:val="auto"/>
          <w:szCs w:val="21"/>
          <w:highlight w:val="none"/>
        </w:rPr>
        <w:t xml:space="preserve">9.1</w:t>
      </w:r>
      <w:r>
        <w:rPr>
          <w:b/>
          <w:color w:val="auto"/>
          <w:szCs w:val="21"/>
          <w:highlight w:val="none"/>
        </w:rPr>
        <w:t xml:space="preserve">投标人须知前附表</w:t>
      </w:r>
      <w:r>
        <w:rPr>
          <w:color w:val="auto"/>
          <w:szCs w:val="21"/>
          <w:highlight w:val="none"/>
        </w:rPr>
        <w:t xml:space="preserve">规定召开开标前答疑会的，采购方按</w:t>
      </w:r>
      <w:r>
        <w:rPr>
          <w:b/>
          <w:color w:val="auto"/>
          <w:szCs w:val="21"/>
          <w:highlight w:val="none"/>
        </w:rPr>
        <w:t xml:space="preserve">投标人须知前附表</w:t>
      </w:r>
      <w:r>
        <w:rPr>
          <w:color w:val="auto"/>
          <w:szCs w:val="21"/>
          <w:highlight w:val="none"/>
        </w:rPr>
        <w:t xml:space="preserve">规定的时间和地点召开开标前答疑会，澄清供应商提出的询问。</w:t>
      </w:r>
      <w:r/>
    </w:p>
    <w:p>
      <w:pPr>
        <w:ind w:firstLine="420"/>
        <w:spacing w:before="156" w:line="360" w:lineRule="auto"/>
        <w:rPr>
          <w:color w:val="auto"/>
          <w:szCs w:val="21"/>
          <w:highlight w:val="none"/>
        </w:rPr>
      </w:pPr>
      <w:r>
        <w:rPr>
          <w:color w:val="auto"/>
          <w:szCs w:val="21"/>
          <w:highlight w:val="none"/>
        </w:rPr>
        <w:t xml:space="preserve">9.2供应商应按</w:t>
      </w:r>
      <w:r>
        <w:rPr>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867"/>
        <w:ind w:left="0" w:right="210" w:firstLine="426"/>
        <w:spacing w:before="156" w:after="156" w:line="360" w:lineRule="auto"/>
        <w:rPr>
          <w:color w:val="auto"/>
          <w:highlight w:val="none"/>
        </w:rPr>
      </w:pPr>
      <w:r/>
      <w:bookmarkStart w:id="93" w:name="_Toc100905210"/>
      <w:r/>
      <w:bookmarkStart w:id="94" w:name="_Toc107246224"/>
      <w:r/>
      <w:bookmarkStart w:id="95" w:name="_Toc104560847"/>
      <w:r/>
      <w:bookmarkStart w:id="96" w:name="_Toc103848536"/>
      <w:r/>
      <w:bookmarkStart w:id="97" w:name="_Toc157070978"/>
      <w:r/>
      <w:bookmarkStart w:id="98" w:name="_Toc96347869"/>
      <w:r>
        <w:rPr>
          <w:color w:val="auto"/>
          <w:szCs w:val="21"/>
          <w:highlight w:val="none"/>
        </w:rPr>
        <w:t xml:space="preserve">10.联合体投标</w:t>
      </w:r>
      <w:bookmarkEnd w:id="93"/>
      <w:r/>
      <w:bookmarkEnd w:id="94"/>
      <w:r/>
      <w:bookmarkEnd w:id="95"/>
      <w:r/>
      <w:bookmarkEnd w:id="96"/>
      <w:r/>
      <w:bookmarkEnd w:id="97"/>
      <w:r/>
      <w:r/>
    </w:p>
    <w:p>
      <w:pPr>
        <w:ind w:firstLine="420"/>
        <w:spacing w:before="156" w:line="360" w:lineRule="auto"/>
        <w:rPr>
          <w:color w:val="auto"/>
          <w:szCs w:val="21"/>
          <w:highlight w:val="none"/>
        </w:rPr>
      </w:pPr>
      <w:r>
        <w:rPr>
          <w:color w:val="auto"/>
          <w:szCs w:val="21"/>
          <w:highlight w:val="none"/>
        </w:rPr>
        <w:t xml:space="preserve">10.1本项目是否接受联合体形式参与详见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10.2供应商为联合体形式的，应遵守以下规定：</w:t>
      </w:r>
      <w:r/>
    </w:p>
    <w:p>
      <w:pPr>
        <w:ind w:firstLine="315"/>
        <w:jc w:val="left"/>
        <w:spacing w:line="360" w:lineRule="auto"/>
        <w:rPr>
          <w:color w:val="auto"/>
          <w:szCs w:val="21"/>
          <w:highlight w:val="none"/>
        </w:rPr>
      </w:pPr>
      <w:r>
        <w:rPr>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color w:val="auto"/>
          <w:szCs w:val="21"/>
          <w:highlight w:val="none"/>
        </w:rPr>
      </w:pPr>
      <w:r>
        <w:rPr>
          <w:color w:val="auto"/>
          <w:szCs w:val="21"/>
          <w:highlight w:val="none"/>
        </w:rPr>
        <w:t xml:space="preserve">（2）联合体各方均应当符合《政府采购法》第二十二条第一款规定的条件；</w:t>
      </w:r>
      <w:r/>
    </w:p>
    <w:p>
      <w:pPr>
        <w:ind w:firstLine="315"/>
        <w:jc w:val="left"/>
        <w:spacing w:line="360" w:lineRule="auto"/>
        <w:rPr>
          <w:color w:val="auto"/>
          <w:szCs w:val="21"/>
          <w:highlight w:val="none"/>
        </w:rPr>
      </w:pPr>
      <w:r>
        <w:rPr>
          <w:color w:val="auto"/>
          <w:szCs w:val="21"/>
          <w:highlight w:val="none"/>
        </w:rPr>
        <w:t xml:space="preserve">（3）除另有规定外，联合体各方中至少有一方应当符合采购人规定的特定资格条件；</w:t>
      </w:r>
      <w:r/>
    </w:p>
    <w:p>
      <w:pPr>
        <w:ind w:firstLine="315"/>
        <w:jc w:val="left"/>
        <w:spacing w:line="360" w:lineRule="auto"/>
        <w:rPr>
          <w:color w:val="auto"/>
          <w:szCs w:val="21"/>
          <w:highlight w:val="none"/>
        </w:rPr>
      </w:pPr>
      <w:r>
        <w:rPr>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color w:val="auto"/>
          <w:szCs w:val="21"/>
          <w:highlight w:val="none"/>
        </w:rPr>
      </w:pPr>
      <w:r>
        <w:rPr>
          <w:color w:val="auto"/>
          <w:szCs w:val="21"/>
          <w:highlight w:val="none"/>
        </w:rPr>
        <w:t xml:space="preserve">（5）以联合体形式参加政府采购活动的，联合体各方不得再单独参加或者与其他供应商另外组成联合体参加同一合同项下的政府采购活动。</w:t>
      </w:r>
      <w:r/>
    </w:p>
    <w:p>
      <w:pPr>
        <w:pStyle w:val="867"/>
        <w:ind w:left="0" w:right="210" w:firstLine="426"/>
        <w:spacing w:before="156" w:after="156" w:line="360" w:lineRule="auto"/>
        <w:rPr>
          <w:color w:val="auto"/>
          <w:highlight w:val="none"/>
        </w:rPr>
      </w:pPr>
      <w:r/>
      <w:bookmarkStart w:id="99" w:name="_Toc100905213"/>
      <w:r/>
      <w:bookmarkStart w:id="100" w:name="_Toc103848537"/>
      <w:r/>
      <w:bookmarkStart w:id="101" w:name="_Toc104560848"/>
      <w:r/>
      <w:bookmarkStart w:id="102" w:name="_Toc157070979"/>
      <w:r/>
      <w:bookmarkStart w:id="103" w:name="_Toc107246225"/>
      <w:r/>
      <w:bookmarkStart w:id="104" w:name="_Toc100905211"/>
      <w:r>
        <w:rPr>
          <w:color w:val="auto"/>
          <w:highlight w:val="none"/>
        </w:rPr>
        <w:t xml:space="preserve">11.分包</w:t>
      </w:r>
      <w:bookmarkEnd w:id="99"/>
      <w:r/>
      <w:bookmarkEnd w:id="100"/>
      <w:r/>
      <w:bookmarkEnd w:id="101"/>
      <w:r/>
      <w:bookmarkEnd w:id="102"/>
      <w:r/>
      <w:bookmarkEnd w:id="103"/>
      <w:r/>
      <w:r/>
    </w:p>
    <w:p>
      <w:pPr>
        <w:ind w:firstLine="420"/>
        <w:spacing w:before="156" w:line="360" w:lineRule="auto"/>
        <w:rPr>
          <w:color w:val="auto"/>
          <w:szCs w:val="21"/>
          <w:highlight w:val="none"/>
        </w:rPr>
      </w:pPr>
      <w:r>
        <w:rPr>
          <w:color w:val="auto"/>
          <w:szCs w:val="21"/>
          <w:highlight w:val="none"/>
        </w:rPr>
        <w:t xml:space="preserve">11.1</w:t>
      </w:r>
      <w:r>
        <w:rPr>
          <w:color w:val="auto"/>
          <w:szCs w:val="21"/>
          <w:highlight w:val="none"/>
        </w:rPr>
        <w:tab/>
      </w:r>
      <w:r>
        <w:rPr>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67"/>
        <w:ind w:left="0" w:right="210" w:firstLine="426"/>
        <w:spacing w:before="156" w:after="156" w:line="360" w:lineRule="auto"/>
        <w:rPr>
          <w:color w:val="auto"/>
          <w:highlight w:val="none"/>
        </w:rPr>
      </w:pPr>
      <w:r/>
      <w:bookmarkStart w:id="105" w:name="_Toc157070980"/>
      <w:r/>
      <w:bookmarkStart w:id="106" w:name="_Toc104560849"/>
      <w:r/>
      <w:bookmarkStart w:id="107" w:name="_Toc107246226"/>
      <w:r>
        <w:rPr>
          <w:color w:val="auto"/>
          <w:highlight w:val="none"/>
        </w:rPr>
        <w:t xml:space="preserve">12.样品</w:t>
      </w:r>
      <w:bookmarkEnd w:id="105"/>
      <w:r/>
      <w:bookmarkEnd w:id="106"/>
      <w:r/>
      <w:bookmarkEnd w:id="107"/>
      <w:r/>
      <w:r/>
    </w:p>
    <w:p>
      <w:pPr>
        <w:ind w:firstLine="420"/>
        <w:spacing w:before="156" w:line="360" w:lineRule="auto"/>
        <w:rPr>
          <w:color w:val="auto"/>
          <w:szCs w:val="21"/>
          <w:highlight w:val="none"/>
        </w:rPr>
      </w:pPr>
      <w:r>
        <w:rPr>
          <w:color w:val="auto"/>
          <w:szCs w:val="21"/>
          <w:highlight w:val="none"/>
        </w:rPr>
        <w:t xml:space="preserve">12.1本项目是否要求投标人提供样品，以及样品制作的标准和要求、是否需要随样品提交相关检测报告、样品的提交要求等详见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12.2样品的评审方法以及评审标准等内容见第五章《评标方法与评标标准》。</w:t>
      </w:r>
      <w:bookmarkEnd w:id="98"/>
      <w:r/>
      <w:bookmarkEnd w:id="104"/>
      <w:r/>
      <w:r/>
    </w:p>
    <w:p>
      <w:pPr>
        <w:pStyle w:val="867"/>
        <w:ind w:left="0" w:right="210" w:firstLine="426"/>
        <w:spacing w:before="156" w:after="156" w:line="360" w:lineRule="auto"/>
        <w:rPr>
          <w:color w:val="auto"/>
          <w:highlight w:val="none"/>
        </w:rPr>
      </w:pPr>
      <w:r/>
      <w:bookmarkStart w:id="108" w:name="_Toc107246227"/>
      <w:r/>
      <w:bookmarkStart w:id="109" w:name="_Toc157070981"/>
      <w:r/>
      <w:bookmarkStart w:id="110" w:name="_Toc103848538"/>
      <w:r/>
      <w:bookmarkStart w:id="111" w:name="_Toc104560850"/>
      <w:r/>
      <w:bookmarkStart w:id="112" w:name="_Toc100905214"/>
      <w:r>
        <w:rPr>
          <w:color w:val="auto"/>
          <w:highlight w:val="none"/>
        </w:rPr>
        <w:t xml:space="preserve">13.采购进口产品</w:t>
      </w:r>
      <w:bookmarkEnd w:id="108"/>
      <w:r/>
      <w:bookmarkEnd w:id="109"/>
      <w:r/>
      <w:bookmarkEnd w:id="110"/>
      <w:r/>
      <w:bookmarkEnd w:id="111"/>
      <w:r/>
      <w:bookmarkEnd w:id="112"/>
      <w:r/>
      <w:r/>
    </w:p>
    <w:p>
      <w:pPr>
        <w:ind w:firstLine="420"/>
        <w:spacing w:before="156" w:line="360" w:lineRule="auto"/>
        <w:rPr>
          <w:color w:val="auto"/>
          <w:szCs w:val="21"/>
          <w:highlight w:val="none"/>
        </w:rPr>
      </w:pPr>
      <w:r>
        <w:rPr>
          <w:color w:val="auto"/>
          <w:szCs w:val="21"/>
          <w:highlight w:val="none"/>
        </w:rPr>
        <w:t xml:space="preserve">13.1本项目是否采购进口产品及相关要求见</w:t>
      </w:r>
      <w:r>
        <w:rPr>
          <w:b/>
          <w:color w:val="auto"/>
          <w:szCs w:val="21"/>
          <w:highlight w:val="none"/>
        </w:rPr>
        <w:t xml:space="preserve">投标人须知前附表</w:t>
      </w:r>
      <w:r>
        <w:rPr>
          <w:color w:val="auto"/>
          <w:szCs w:val="21"/>
          <w:highlight w:val="none"/>
        </w:rPr>
        <w:t xml:space="preserve">。</w:t>
      </w:r>
      <w:r/>
    </w:p>
    <w:p>
      <w:pPr>
        <w:pStyle w:val="867"/>
        <w:ind w:left="0" w:right="210" w:firstLine="426"/>
        <w:spacing w:before="156" w:after="156" w:line="360" w:lineRule="auto"/>
        <w:rPr>
          <w:color w:val="auto"/>
          <w:highlight w:val="none"/>
        </w:rPr>
      </w:pPr>
      <w:r/>
      <w:bookmarkStart w:id="113" w:name="_Toc107246228"/>
      <w:r/>
      <w:bookmarkStart w:id="114" w:name="_Toc157070982"/>
      <w:r/>
      <w:bookmarkStart w:id="115" w:name="_Toc104560851"/>
      <w:r>
        <w:rPr>
          <w:color w:val="auto"/>
          <w:highlight w:val="none"/>
        </w:rPr>
        <w:t xml:space="preserve">14.采购项目预算及最高限价</w:t>
      </w:r>
      <w:bookmarkEnd w:id="113"/>
      <w:r/>
      <w:bookmarkEnd w:id="114"/>
      <w:r/>
      <w:bookmarkEnd w:id="115"/>
      <w:r/>
      <w:r/>
    </w:p>
    <w:p>
      <w:pPr>
        <w:ind w:firstLine="420"/>
        <w:spacing w:before="156" w:line="360" w:lineRule="auto"/>
        <w:rPr>
          <w:color w:val="auto"/>
          <w:szCs w:val="21"/>
          <w:highlight w:val="none"/>
        </w:rPr>
      </w:pPr>
      <w:r>
        <w:rPr>
          <w:color w:val="auto"/>
          <w:szCs w:val="21"/>
          <w:highlight w:val="none"/>
        </w:rPr>
        <w:t xml:space="preserve">14.1本项目采购资金已列入政府采购预算，预算金额见</w:t>
      </w:r>
      <w:r>
        <w:rPr>
          <w:b/>
          <w:color w:val="auto"/>
          <w:szCs w:val="21"/>
          <w:highlight w:val="none"/>
        </w:rPr>
        <w:t xml:space="preserve">投标人须知前附表</w:t>
      </w:r>
      <w:r>
        <w:rPr>
          <w:color w:val="auto"/>
          <w:szCs w:val="21"/>
          <w:highlight w:val="none"/>
        </w:rPr>
        <w:t xml:space="preserve">。</w:t>
      </w:r>
      <w:r/>
    </w:p>
    <w:p>
      <w:pPr>
        <w:ind w:firstLine="420"/>
        <w:spacing w:before="156" w:line="360" w:lineRule="auto"/>
        <w:rPr>
          <w:color w:val="auto"/>
          <w:szCs w:val="21"/>
          <w:highlight w:val="none"/>
        </w:rPr>
      </w:pPr>
      <w:r>
        <w:rPr>
          <w:color w:val="auto"/>
          <w:szCs w:val="21"/>
          <w:highlight w:val="none"/>
        </w:rPr>
        <w:t xml:space="preserve">14.2本项目最高限价要求见</w:t>
      </w:r>
      <w:r>
        <w:rPr>
          <w:b/>
          <w:color w:val="auto"/>
          <w:szCs w:val="21"/>
          <w:highlight w:val="none"/>
        </w:rPr>
        <w:t xml:space="preserve">投标人须知前附表</w:t>
      </w:r>
      <w:r>
        <w:rPr>
          <w:color w:val="auto"/>
          <w:szCs w:val="21"/>
          <w:highlight w:val="none"/>
        </w:rPr>
        <w:t xml:space="preserve">。</w:t>
      </w:r>
      <w:r/>
    </w:p>
    <w:p>
      <w:pPr>
        <w:pStyle w:val="867"/>
        <w:ind w:left="0" w:right="210" w:firstLine="426"/>
        <w:spacing w:before="156" w:after="156" w:line="360" w:lineRule="auto"/>
        <w:rPr>
          <w:color w:val="auto"/>
          <w:highlight w:val="none"/>
        </w:rPr>
      </w:pPr>
      <w:r/>
      <w:bookmarkStart w:id="116" w:name="_Toc104560852"/>
      <w:r/>
      <w:bookmarkStart w:id="117" w:name="_Toc107246229"/>
      <w:r/>
      <w:bookmarkStart w:id="118" w:name="_Toc157070983"/>
      <w:r>
        <w:rPr>
          <w:color w:val="auto"/>
          <w:highlight w:val="none"/>
        </w:rPr>
        <w:t xml:space="preserve">15.</w:t>
      </w:r>
      <w:r>
        <w:rPr>
          <w:bCs w:val="0"/>
          <w:color w:val="auto"/>
          <w:szCs w:val="21"/>
          <w:highlight w:val="none"/>
        </w:rPr>
        <w:t xml:space="preserve"> 供应商</w:t>
      </w:r>
      <w:r>
        <w:rPr>
          <w:color w:val="auto"/>
          <w:highlight w:val="none"/>
        </w:rPr>
        <w:t xml:space="preserve">资格条件</w:t>
      </w:r>
      <w:bookmarkEnd w:id="116"/>
      <w:r/>
      <w:bookmarkEnd w:id="117"/>
      <w:r/>
      <w:bookmarkEnd w:id="118"/>
      <w:r/>
      <w:r/>
    </w:p>
    <w:p>
      <w:pPr>
        <w:ind w:firstLine="420"/>
        <w:spacing w:before="156" w:line="360" w:lineRule="auto"/>
        <w:rPr>
          <w:color w:val="auto"/>
          <w:szCs w:val="21"/>
          <w:highlight w:val="none"/>
        </w:rPr>
      </w:pPr>
      <w:r>
        <w:rPr>
          <w:color w:val="auto"/>
          <w:szCs w:val="21"/>
          <w:highlight w:val="none"/>
        </w:rPr>
        <w:t xml:space="preserve">15.1</w:t>
      </w:r>
      <w:r>
        <w:rPr>
          <w:bCs/>
          <w:color w:val="auto"/>
          <w:szCs w:val="21"/>
          <w:highlight w:val="none"/>
        </w:rPr>
        <w:t xml:space="preserve">供应商</w:t>
      </w:r>
      <w:r>
        <w:rPr>
          <w:color w:val="auto"/>
          <w:szCs w:val="21"/>
          <w:highlight w:val="none"/>
        </w:rPr>
        <w:t xml:space="preserve">资格条件见</w:t>
      </w:r>
      <w:r>
        <w:rPr>
          <w:b/>
          <w:color w:val="auto"/>
          <w:szCs w:val="21"/>
          <w:highlight w:val="none"/>
        </w:rPr>
        <w:t xml:space="preserve">投标人须知前附表</w:t>
      </w:r>
      <w:r>
        <w:rPr>
          <w:color w:val="auto"/>
          <w:szCs w:val="21"/>
          <w:highlight w:val="none"/>
        </w:rPr>
        <w:t xml:space="preserve">。</w:t>
      </w:r>
      <w:r/>
    </w:p>
    <w:p>
      <w:pPr>
        <w:pStyle w:val="867"/>
        <w:ind w:left="0" w:right="210" w:firstLine="426"/>
        <w:spacing w:before="156" w:after="156" w:line="360" w:lineRule="auto"/>
        <w:rPr>
          <w:color w:val="auto"/>
          <w:highlight w:val="none"/>
        </w:rPr>
      </w:pPr>
      <w:r/>
      <w:bookmarkStart w:id="119" w:name="_Toc157070984"/>
      <w:r/>
      <w:bookmarkStart w:id="120" w:name="_Toc107246230"/>
      <w:r>
        <w:rPr>
          <w:color w:val="auto"/>
          <w:highlight w:val="none"/>
        </w:rPr>
        <w:t xml:space="preserve">二．招标文件</w:t>
      </w:r>
      <w:bookmarkEnd w:id="71"/>
      <w:r/>
      <w:bookmarkEnd w:id="119"/>
      <w:r/>
      <w:bookmarkEnd w:id="120"/>
      <w:r/>
      <w:r/>
    </w:p>
    <w:p>
      <w:pPr>
        <w:pStyle w:val="867"/>
        <w:ind w:left="0" w:right="210" w:firstLine="426"/>
        <w:spacing w:before="156" w:after="156" w:line="360" w:lineRule="auto"/>
        <w:rPr>
          <w:color w:val="auto"/>
          <w:highlight w:val="none"/>
        </w:rPr>
      </w:pPr>
      <w:r/>
      <w:bookmarkStart w:id="121" w:name="_Toc107246231"/>
      <w:r/>
      <w:bookmarkStart w:id="122" w:name="_Toc96347871"/>
      <w:r/>
      <w:bookmarkStart w:id="123" w:name="_Toc103848540"/>
      <w:r/>
      <w:bookmarkStart w:id="124" w:name="_Toc104560854"/>
      <w:r/>
      <w:bookmarkStart w:id="125" w:name="_Toc100905217"/>
      <w:r/>
      <w:bookmarkStart w:id="126" w:name="_Toc157070985"/>
      <w:r>
        <w:rPr>
          <w:color w:val="auto"/>
          <w:highlight w:val="none"/>
        </w:rPr>
        <w:t xml:space="preserve">16.招标文件的构成</w:t>
      </w:r>
      <w:bookmarkEnd w:id="121"/>
      <w:r/>
      <w:bookmarkEnd w:id="122"/>
      <w:r/>
      <w:bookmarkEnd w:id="123"/>
      <w:r/>
      <w:bookmarkEnd w:id="124"/>
      <w:r/>
      <w:bookmarkEnd w:id="125"/>
      <w:r/>
      <w:bookmarkEnd w:id="126"/>
      <w:r/>
      <w:r/>
    </w:p>
    <w:p>
      <w:pPr>
        <w:pStyle w:val="1104"/>
        <w:ind w:firstLine="420"/>
        <w:rPr>
          <w:rFonts w:ascii="Times New Roman" w:hAnsi="Times New Roman"/>
          <w:bCs/>
          <w:color w:val="auto"/>
          <w:sz w:val="21"/>
          <w:highlight w:val="none"/>
        </w:rPr>
      </w:pPr>
      <w:r>
        <w:rPr>
          <w:rFonts w:ascii="Times New Roman" w:hAnsi="Times New Roman"/>
          <w:bCs/>
          <w:color w:val="auto"/>
          <w:sz w:val="21"/>
          <w:highlight w:val="none"/>
        </w:rPr>
        <w:t xml:space="preserve">16.1招标文件各章节的内容如下：</w:t>
      </w:r>
      <w:r/>
    </w:p>
    <w:p>
      <w:pPr>
        <w:ind w:firstLine="420"/>
        <w:spacing w:before="156" w:line="360" w:lineRule="auto"/>
        <w:rPr>
          <w:color w:val="auto"/>
          <w:szCs w:val="21"/>
          <w:highlight w:val="none"/>
        </w:rPr>
      </w:pPr>
      <w:r>
        <w:rPr>
          <w:color w:val="auto"/>
          <w:szCs w:val="21"/>
          <w:highlight w:val="none"/>
        </w:rPr>
        <w:t xml:space="preserve">第一章：招标公告</w:t>
      </w:r>
      <w:r/>
    </w:p>
    <w:p>
      <w:pPr>
        <w:ind w:firstLine="420"/>
        <w:spacing w:before="156" w:line="360" w:lineRule="auto"/>
        <w:rPr>
          <w:color w:val="auto"/>
          <w:szCs w:val="21"/>
          <w:highlight w:val="none"/>
        </w:rPr>
      </w:pPr>
      <w:r>
        <w:rPr>
          <w:color w:val="auto"/>
          <w:szCs w:val="21"/>
          <w:highlight w:val="none"/>
        </w:rPr>
        <w:t xml:space="preserve">第二章：投标人须知</w:t>
      </w:r>
      <w:r/>
    </w:p>
    <w:p>
      <w:pPr>
        <w:ind w:firstLine="420"/>
        <w:spacing w:before="156" w:line="360" w:lineRule="auto"/>
        <w:rPr>
          <w:color w:val="auto"/>
          <w:szCs w:val="21"/>
          <w:highlight w:val="none"/>
        </w:rPr>
      </w:pPr>
      <w:r>
        <w:rPr>
          <w:color w:val="auto"/>
          <w:szCs w:val="21"/>
          <w:highlight w:val="none"/>
        </w:rPr>
        <w:t xml:space="preserve">第三章：政府采购合同条款及格式</w:t>
      </w:r>
      <w:r/>
    </w:p>
    <w:p>
      <w:pPr>
        <w:ind w:firstLine="420"/>
        <w:spacing w:before="156" w:line="360" w:lineRule="auto"/>
        <w:rPr>
          <w:color w:val="auto"/>
          <w:szCs w:val="21"/>
          <w:highlight w:val="none"/>
        </w:rPr>
      </w:pPr>
      <w:r>
        <w:rPr>
          <w:color w:val="auto"/>
          <w:szCs w:val="21"/>
          <w:highlight w:val="none"/>
        </w:rPr>
        <w:t xml:space="preserve">第四章：采购需求</w:t>
      </w:r>
      <w:r/>
    </w:p>
    <w:p>
      <w:pPr>
        <w:ind w:firstLine="420"/>
        <w:spacing w:before="156" w:line="360" w:lineRule="auto"/>
        <w:rPr>
          <w:color w:val="auto"/>
          <w:szCs w:val="21"/>
          <w:highlight w:val="none"/>
        </w:rPr>
      </w:pPr>
      <w:r>
        <w:rPr>
          <w:color w:val="auto"/>
          <w:szCs w:val="21"/>
          <w:highlight w:val="none"/>
        </w:rPr>
        <w:t xml:space="preserve">第五章：评标方法与评标标准</w:t>
      </w:r>
      <w:r/>
    </w:p>
    <w:p>
      <w:pPr>
        <w:ind w:firstLine="420"/>
        <w:spacing w:before="156" w:line="360" w:lineRule="auto"/>
        <w:rPr>
          <w:color w:val="auto"/>
          <w:szCs w:val="21"/>
          <w:highlight w:val="none"/>
        </w:rPr>
      </w:pPr>
      <w:r>
        <w:rPr>
          <w:color w:val="auto"/>
          <w:szCs w:val="21"/>
          <w:highlight w:val="none"/>
        </w:rPr>
        <w:t xml:space="preserve">第六章：</w:t>
      </w:r>
      <w:bookmarkStart w:id="127" w:name="_Toc96347872"/>
      <w:r>
        <w:rPr>
          <w:color w:val="auto"/>
          <w:szCs w:val="21"/>
          <w:highlight w:val="none"/>
        </w:rPr>
        <w:t xml:space="preserve">投标文件格式</w:t>
      </w:r>
      <w:r/>
    </w:p>
    <w:p>
      <w:pPr>
        <w:ind w:firstLine="420"/>
        <w:spacing w:before="156" w:line="360" w:lineRule="auto"/>
        <w:rPr>
          <w:color w:val="auto"/>
          <w:szCs w:val="21"/>
          <w:highlight w:val="none"/>
        </w:rPr>
      </w:pPr>
      <w:r>
        <w:rPr>
          <w:color w:val="auto"/>
          <w:szCs w:val="21"/>
          <w:highlight w:val="none"/>
        </w:rPr>
        <w:t xml:space="preserve">对招标文件所作的澄清、修改，构成招标文件的组成部分。</w:t>
      </w:r>
      <w:r/>
    </w:p>
    <w:p>
      <w:pPr>
        <w:ind w:firstLine="422"/>
        <w:spacing w:before="156" w:line="360" w:lineRule="auto"/>
        <w:rPr>
          <w:color w:val="auto"/>
          <w:szCs w:val="21"/>
          <w:highlight w:val="none"/>
        </w:rPr>
      </w:pPr>
      <w:r>
        <w:rPr>
          <w:rFonts w:ascii="Segoe UI Symbol" w:hAnsi="Segoe UI Symbol" w:cs="Segoe UI Symbol"/>
          <w:b/>
          <w:color w:val="auto"/>
          <w:szCs w:val="21"/>
          <w:highlight w:val="none"/>
        </w:rPr>
        <w:t xml:space="preserve">★</w:t>
      </w:r>
      <w:r>
        <w:rPr>
          <w:b/>
          <w:color w:val="auto"/>
          <w:szCs w:val="21"/>
          <w:highlight w:val="none"/>
        </w:rPr>
        <w:t xml:space="preserve">招标文件中标注</w:t>
      </w:r>
      <w:r>
        <w:rPr>
          <w:bCs/>
          <w:color w:val="auto"/>
          <w:szCs w:val="21"/>
          <w:highlight w:val="none"/>
        </w:rPr>
        <w:t xml:space="preserve">“</w:t>
      </w:r>
      <w:r>
        <w:rPr>
          <w:rFonts w:ascii="Segoe UI Symbol" w:hAnsi="Segoe UI Symbol" w:cs="Segoe UI Symbol"/>
          <w:b/>
          <w:color w:val="auto"/>
          <w:szCs w:val="21"/>
          <w:highlight w:val="none"/>
        </w:rPr>
        <w:t xml:space="preserve">★</w:t>
      </w:r>
      <w:r>
        <w:rPr>
          <w:bCs/>
          <w:color w:val="auto"/>
          <w:szCs w:val="21"/>
          <w:highlight w:val="none"/>
        </w:rPr>
        <w:t xml:space="preserve">”</w:t>
      </w:r>
      <w:r>
        <w:rPr>
          <w:b/>
          <w:color w:val="auto"/>
          <w:szCs w:val="21"/>
          <w:highlight w:val="none"/>
        </w:rPr>
        <w:t xml:space="preserve">符号的条款为实质性要求条款（即重要条款）。</w:t>
      </w:r>
      <w:r/>
    </w:p>
    <w:p>
      <w:pPr>
        <w:ind w:firstLine="420"/>
        <w:spacing w:before="156" w:line="360" w:lineRule="auto"/>
        <w:rPr>
          <w:color w:val="auto"/>
          <w:szCs w:val="21"/>
          <w:highlight w:val="none"/>
        </w:rPr>
      </w:pPr>
      <w:r>
        <w:rPr>
          <w:color w:val="auto"/>
          <w:szCs w:val="21"/>
          <w:highlight w:val="none"/>
        </w:rPr>
        <w:t xml:space="preserve">16.2供应商应仔细阅读和检查招标文件的全部内容。如发现招标文件内容不全，应及时向采购方提出，以便补齐。</w:t>
      </w:r>
      <w:r/>
    </w:p>
    <w:p>
      <w:pPr>
        <w:ind w:firstLine="420"/>
        <w:spacing w:before="156" w:line="360" w:lineRule="auto"/>
        <w:rPr>
          <w:bCs/>
          <w:color w:val="auto"/>
          <w:szCs w:val="21"/>
          <w:highlight w:val="none"/>
        </w:rPr>
      </w:pPr>
      <w:r>
        <w:rPr>
          <w:bCs/>
          <w:color w:val="auto"/>
          <w:szCs w:val="21"/>
          <w:highlight w:val="none"/>
        </w:rPr>
        <w:t xml:space="preserve">16.3</w:t>
      </w:r>
      <w:r>
        <w:rPr>
          <w:color w:val="auto"/>
          <w:szCs w:val="21"/>
          <w:highlight w:val="none"/>
        </w:rPr>
        <w:t xml:space="preserve">供应商</w:t>
      </w:r>
      <w:r>
        <w:rPr>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bCs/>
          <w:color w:val="auto"/>
          <w:szCs w:val="21"/>
          <w:highlight w:val="none"/>
        </w:rPr>
        <w:t xml:space="preserve">承担。</w:t>
      </w:r>
      <w:r/>
    </w:p>
    <w:p>
      <w:pPr>
        <w:ind w:firstLine="420"/>
        <w:spacing w:before="156" w:line="360" w:lineRule="auto"/>
        <w:rPr>
          <w:color w:val="auto"/>
          <w:szCs w:val="21"/>
          <w:highlight w:val="none"/>
        </w:rPr>
      </w:pPr>
      <w:r>
        <w:rPr>
          <w:color w:val="auto"/>
          <w:szCs w:val="21"/>
          <w:highlight w:val="none"/>
        </w:rPr>
        <w:t xml:space="preserve">16.4本项目招标文件如包括多个分包，则除非特别说明，招标文件所列各项要求均为各分包通用要求。</w:t>
      </w:r>
      <w:bookmarkEnd w:id="127"/>
      <w:r/>
      <w:r/>
    </w:p>
    <w:p>
      <w:pPr>
        <w:pStyle w:val="867"/>
        <w:ind w:left="0" w:right="210" w:firstLine="426"/>
        <w:spacing w:before="156" w:after="156" w:line="360" w:lineRule="auto"/>
        <w:rPr>
          <w:color w:val="auto"/>
          <w:highlight w:val="none"/>
        </w:rPr>
      </w:pPr>
      <w:r/>
      <w:bookmarkStart w:id="128" w:name="_Toc157070986"/>
      <w:r/>
      <w:bookmarkStart w:id="129" w:name="_Toc96347873"/>
      <w:r/>
      <w:bookmarkStart w:id="130" w:name="_Toc107246232"/>
      <w:r/>
      <w:bookmarkStart w:id="131" w:name="_Toc104560855"/>
      <w:r/>
      <w:bookmarkStart w:id="132" w:name="_Toc100905218"/>
      <w:r/>
      <w:bookmarkStart w:id="133" w:name="_Toc103848541"/>
      <w:r>
        <w:rPr>
          <w:color w:val="auto"/>
          <w:highlight w:val="none"/>
        </w:rPr>
        <w:t xml:space="preserve">17.招标文件的澄清或者修改</w:t>
      </w:r>
      <w:bookmarkEnd w:id="128"/>
      <w:r/>
      <w:bookmarkEnd w:id="129"/>
      <w:r/>
      <w:bookmarkEnd w:id="130"/>
      <w:r/>
      <w:bookmarkEnd w:id="131"/>
      <w:r/>
      <w:bookmarkEnd w:id="132"/>
      <w:r/>
      <w:bookmarkEnd w:id="133"/>
      <w:r/>
      <w:r/>
    </w:p>
    <w:p>
      <w:pPr>
        <w:ind w:firstLine="420"/>
        <w:spacing w:before="156" w:line="360" w:lineRule="auto"/>
        <w:rPr>
          <w:color w:val="auto"/>
          <w:szCs w:val="21"/>
          <w:highlight w:val="none"/>
        </w:rPr>
      </w:pPr>
      <w:r/>
      <w:bookmarkStart w:id="134" w:name="_Toc100905219"/>
      <w:r>
        <w:rPr>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60" w:lineRule="auto"/>
        <w:rPr>
          <w:color w:val="auto"/>
          <w:szCs w:val="21"/>
          <w:highlight w:val="none"/>
        </w:rPr>
      </w:pPr>
      <w:r>
        <w:rPr>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bookmarkEnd w:id="134"/>
      <w:r/>
      <w:r/>
    </w:p>
    <w:p>
      <w:pPr>
        <w:pStyle w:val="867"/>
        <w:ind w:left="0" w:right="210" w:firstLine="426"/>
        <w:spacing w:before="156" w:after="156" w:line="360" w:lineRule="auto"/>
        <w:rPr>
          <w:color w:val="auto"/>
          <w:highlight w:val="none"/>
        </w:rPr>
      </w:pPr>
      <w:r/>
      <w:bookmarkStart w:id="135" w:name="_Toc107246233"/>
      <w:r/>
      <w:bookmarkStart w:id="136" w:name="_Toc91836558"/>
      <w:r/>
      <w:bookmarkStart w:id="137" w:name="_Toc157070987"/>
      <w:r/>
      <w:bookmarkStart w:id="138" w:name="_Toc104560856"/>
      <w:r/>
      <w:bookmarkStart w:id="139" w:name="_Toc80264708"/>
      <w:r>
        <w:rPr>
          <w:color w:val="auto"/>
          <w:highlight w:val="none"/>
        </w:rPr>
        <w:t xml:space="preserve">三．投标文件</w:t>
      </w:r>
      <w:bookmarkEnd w:id="135"/>
      <w:r/>
      <w:bookmarkEnd w:id="136"/>
      <w:r/>
      <w:bookmarkEnd w:id="137"/>
      <w:r/>
      <w:bookmarkEnd w:id="138"/>
      <w:r/>
      <w:r/>
    </w:p>
    <w:p>
      <w:pPr>
        <w:pStyle w:val="867"/>
        <w:ind w:left="0" w:right="210" w:firstLine="426"/>
        <w:spacing w:before="156" w:after="156" w:line="360" w:lineRule="auto"/>
        <w:rPr>
          <w:color w:val="auto"/>
          <w:highlight w:val="none"/>
        </w:rPr>
      </w:pPr>
      <w:r/>
      <w:bookmarkStart w:id="140" w:name="_Toc103848543"/>
      <w:r/>
      <w:bookmarkStart w:id="141" w:name="_Toc104560857"/>
      <w:r/>
      <w:bookmarkStart w:id="142" w:name="_Toc157070988"/>
      <w:r/>
      <w:bookmarkStart w:id="143" w:name="_Toc107246234"/>
      <w:r/>
      <w:bookmarkStart w:id="144" w:name="_Toc96347875"/>
      <w:r/>
      <w:bookmarkStart w:id="145" w:name="_Toc100905221"/>
      <w:r>
        <w:rPr>
          <w:color w:val="auto"/>
          <w:highlight w:val="none"/>
        </w:rPr>
        <w:t xml:space="preserve">18.投标文件的组成</w:t>
      </w:r>
      <w:bookmarkEnd w:id="140"/>
      <w:r/>
      <w:bookmarkEnd w:id="141"/>
      <w:r/>
      <w:bookmarkEnd w:id="142"/>
      <w:r/>
      <w:bookmarkEnd w:id="143"/>
      <w:r/>
      <w:r/>
    </w:p>
    <w:p>
      <w:pPr>
        <w:ind w:firstLine="420"/>
        <w:spacing w:before="156" w:line="360" w:lineRule="auto"/>
        <w:rPr>
          <w:color w:val="auto"/>
          <w:szCs w:val="21"/>
          <w:highlight w:val="none"/>
        </w:rPr>
      </w:pPr>
      <w:r>
        <w:rPr>
          <w:color w:val="auto"/>
          <w:szCs w:val="21"/>
          <w:highlight w:val="none"/>
        </w:rPr>
        <w:t xml:space="preserve">18.1投标文件由价格及商务部分、技术部分以及其他部分组成，格式见招标文件第六章《投标文件格式》。</w:t>
      </w:r>
      <w:r/>
    </w:p>
    <w:p>
      <w:pPr>
        <w:ind w:firstLine="422"/>
        <w:spacing w:before="156" w:line="360" w:lineRule="auto"/>
        <w:rPr>
          <w:b/>
          <w:color w:val="auto"/>
          <w:szCs w:val="21"/>
          <w:highlight w:val="none"/>
        </w:rPr>
      </w:pPr>
      <w:r>
        <w:rPr>
          <w:b/>
          <w:color w:val="auto"/>
          <w:szCs w:val="21"/>
          <w:highlight w:val="none"/>
        </w:rPr>
        <w:t xml:space="preserve">18.2</w:t>
      </w:r>
      <w:r>
        <w:rPr>
          <w:b/>
          <w:color w:val="auto"/>
          <w:sz w:val="22"/>
          <w:szCs w:val="22"/>
          <w:highlight w:val="none"/>
        </w:rPr>
        <w:t xml:space="preserve">投标文件的价格及商务部分，包括但不限于下列文件：</w:t>
      </w:r>
      <w:r/>
    </w:p>
    <w:p>
      <w:pPr>
        <w:ind w:firstLine="315"/>
        <w:jc w:val="left"/>
        <w:spacing w:line="360" w:lineRule="auto"/>
        <w:rPr>
          <w:color w:val="auto"/>
          <w:szCs w:val="21"/>
          <w:highlight w:val="none"/>
        </w:rPr>
      </w:pPr>
      <w:r>
        <w:rPr>
          <w:color w:val="auto"/>
          <w:szCs w:val="21"/>
          <w:highlight w:val="none"/>
        </w:rPr>
        <w:t xml:space="preserve">（1）投标函，格式见附件。</w:t>
      </w:r>
      <w:r/>
    </w:p>
    <w:p>
      <w:pPr>
        <w:ind w:firstLine="315"/>
        <w:jc w:val="left"/>
        <w:spacing w:line="360" w:lineRule="auto"/>
        <w:rPr>
          <w:color w:val="auto"/>
          <w:szCs w:val="21"/>
          <w:highlight w:val="none"/>
        </w:rPr>
      </w:pPr>
      <w:r>
        <w:rPr>
          <w:color w:val="auto"/>
          <w:szCs w:val="21"/>
          <w:highlight w:val="none"/>
        </w:rPr>
        <w:t xml:space="preserve">（2）法定代表人（单位负责人）身份证明，格式见附件。</w:t>
      </w:r>
      <w:r/>
    </w:p>
    <w:p>
      <w:pPr>
        <w:ind w:firstLine="315"/>
        <w:jc w:val="left"/>
        <w:spacing w:line="360" w:lineRule="auto"/>
        <w:rPr>
          <w:color w:val="auto"/>
          <w:szCs w:val="21"/>
          <w:highlight w:val="none"/>
        </w:rPr>
      </w:pPr>
      <w:r>
        <w:rPr>
          <w:color w:val="auto"/>
          <w:szCs w:val="21"/>
          <w:highlight w:val="none"/>
        </w:rPr>
        <w:t xml:space="preserve">（3-1）法定代表人（单位负责人）授权委托书（适用于法人/非法人），格式见附件。</w:t>
      </w:r>
      <w:r/>
    </w:p>
    <w:p>
      <w:pPr>
        <w:ind w:firstLine="315"/>
        <w:jc w:val="left"/>
        <w:spacing w:line="360" w:lineRule="auto"/>
        <w:rPr>
          <w:color w:val="auto"/>
          <w:szCs w:val="21"/>
          <w:highlight w:val="none"/>
        </w:rPr>
      </w:pPr>
      <w:r>
        <w:rPr>
          <w:color w:val="auto"/>
          <w:szCs w:val="21"/>
          <w:highlight w:val="none"/>
        </w:rPr>
        <w:t xml:space="preserve">（3-2）授权委托书（适用于自然人），格式见附件。</w:t>
      </w:r>
      <w:r/>
    </w:p>
    <w:p>
      <w:pPr>
        <w:ind w:firstLine="315"/>
        <w:jc w:val="left"/>
        <w:spacing w:line="360" w:lineRule="auto"/>
        <w:rPr>
          <w:color w:val="auto"/>
          <w:szCs w:val="21"/>
          <w:highlight w:val="none"/>
        </w:rPr>
      </w:pPr>
      <w:r>
        <w:rPr>
          <w:color w:val="auto"/>
          <w:szCs w:val="21"/>
          <w:highlight w:val="none"/>
        </w:rPr>
        <w:t xml:space="preserve">（4）开标一览表，格式见附件。</w:t>
      </w:r>
      <w:r/>
    </w:p>
    <w:p>
      <w:pPr>
        <w:ind w:firstLine="315"/>
        <w:jc w:val="left"/>
        <w:spacing w:line="360" w:lineRule="auto"/>
        <w:rPr>
          <w:color w:val="auto"/>
          <w:szCs w:val="21"/>
          <w:highlight w:val="none"/>
        </w:rPr>
      </w:pPr>
      <w:r>
        <w:rPr>
          <w:color w:val="auto"/>
          <w:szCs w:val="21"/>
          <w:highlight w:val="none"/>
        </w:rPr>
        <w:t xml:space="preserve">（5）分项报价表，格式见附件。</w:t>
      </w:r>
      <w:r/>
    </w:p>
    <w:p>
      <w:pPr>
        <w:ind w:firstLine="315"/>
        <w:jc w:val="left"/>
        <w:spacing w:line="360" w:lineRule="auto"/>
        <w:rPr>
          <w:color w:val="auto"/>
          <w:szCs w:val="21"/>
          <w:highlight w:val="none"/>
        </w:rPr>
      </w:pPr>
      <w:r>
        <w:rPr>
          <w:color w:val="auto"/>
          <w:szCs w:val="21"/>
          <w:highlight w:val="none"/>
        </w:rPr>
        <w:t xml:space="preserve">（6）商务条款偏离表，格式见附件。</w:t>
      </w:r>
      <w:r/>
    </w:p>
    <w:p>
      <w:pPr>
        <w:ind w:firstLine="315"/>
        <w:jc w:val="left"/>
        <w:spacing w:line="360" w:lineRule="auto"/>
        <w:rPr>
          <w:color w:val="auto"/>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）技术条款偏离表，格式见附件。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）投标人具备投标资格的证明文件：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-1-1）营业执照复印件或自然人的身份证明复印件（或具有同等法律效力的证照），格式见附件。</w:t>
      </w:r>
      <w:r/>
    </w:p>
    <w:p>
      <w:pPr>
        <w:ind w:firstLine="525"/>
        <w:jc w:val="left"/>
        <w:spacing w:line="360" w:lineRule="auto"/>
        <w:rPr>
          <w:color w:val="auto"/>
          <w:szCs w:val="21"/>
          <w:highlight w:val="none"/>
        </w:rPr>
      </w:pPr>
      <w:r>
        <w:rPr>
          <w:color w:val="auto"/>
          <w:szCs w:val="21"/>
          <w:highlight w:val="none"/>
        </w:rPr>
        <w:t xml:space="preserve">（a）投标人为企业（包括合伙企业）的，应提供有效的“营业执照”。</w:t>
      </w:r>
      <w:r/>
    </w:p>
    <w:p>
      <w:pPr>
        <w:ind w:firstLine="525"/>
        <w:jc w:val="left"/>
        <w:spacing w:line="360" w:lineRule="auto"/>
        <w:rPr>
          <w:color w:val="auto"/>
          <w:szCs w:val="21"/>
          <w:highlight w:val="none"/>
        </w:rPr>
      </w:pPr>
      <w:r>
        <w:rPr>
          <w:color w:val="auto"/>
          <w:szCs w:val="21"/>
          <w:highlight w:val="none"/>
        </w:rPr>
        <w:t xml:space="preserve">（b）投标人为事业单位的，应提供有效的“事业单位法人证书”。</w:t>
      </w:r>
      <w:r/>
    </w:p>
    <w:p>
      <w:pPr>
        <w:ind w:firstLine="525"/>
        <w:jc w:val="left"/>
        <w:spacing w:line="360" w:lineRule="auto"/>
        <w:rPr>
          <w:color w:val="auto"/>
          <w:szCs w:val="21"/>
          <w:highlight w:val="none"/>
        </w:rPr>
      </w:pPr>
      <w:r>
        <w:rPr>
          <w:color w:val="auto"/>
          <w:szCs w:val="21"/>
          <w:highlight w:val="none"/>
        </w:rPr>
        <w:t xml:space="preserve">（c）投标人是非企业机构的，应提供有效的“执业许可证”、“登记证书”等证明文件。</w:t>
      </w:r>
      <w:r/>
    </w:p>
    <w:p>
      <w:pPr>
        <w:ind w:firstLine="525"/>
        <w:jc w:val="left"/>
        <w:spacing w:line="360" w:lineRule="auto"/>
        <w:rPr>
          <w:color w:val="auto"/>
          <w:szCs w:val="21"/>
          <w:highlight w:val="none"/>
        </w:rPr>
      </w:pPr>
      <w:r>
        <w:rPr>
          <w:color w:val="auto"/>
          <w:szCs w:val="21"/>
          <w:highlight w:val="none"/>
        </w:rPr>
        <w:t xml:space="preserve">（d）投标人是个体工商户的，应提供有效的“个体工商户营业执照”。</w:t>
      </w:r>
      <w:r/>
    </w:p>
    <w:p>
      <w:pPr>
        <w:ind w:firstLine="525"/>
        <w:jc w:val="left"/>
        <w:spacing w:line="360" w:lineRule="auto"/>
        <w:rPr>
          <w:color w:val="auto"/>
          <w:szCs w:val="21"/>
          <w:highlight w:val="none"/>
        </w:rPr>
      </w:pPr>
      <w:r>
        <w:rPr>
          <w:color w:val="auto"/>
          <w:szCs w:val="21"/>
          <w:highlight w:val="none"/>
        </w:rPr>
        <w:t xml:space="preserve">（e）投标人是自然人的，应提供有效的自然人身份证明。</w:t>
      </w:r>
      <w:r/>
    </w:p>
    <w:p>
      <w:pPr>
        <w:ind w:firstLine="525"/>
        <w:jc w:val="left"/>
        <w:spacing w:line="360" w:lineRule="auto"/>
        <w:rPr>
          <w:color w:val="auto"/>
          <w:szCs w:val="21"/>
          <w:highlight w:val="none"/>
        </w:rPr>
      </w:pPr>
      <w:r>
        <w:rPr>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-2）财务报表，格式见附件。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-3）具有履行合同所必需的设备和专业技术能力的相关证明材料或承诺函，格式见附件。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-4）依法缴纳税收的相关材料，格式见附件。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-5）依法缴纳社会保障资金的相关材料，格式见附件。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-6）参加政府采购活动前三年内，在经营活动中没有重大违法记录，格式见附件。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-7）无不良信用记录承诺函（投标人自行查询适用），格式见附件。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8</w:t>
      </w:r>
      <w:r>
        <w:rPr>
          <w:color w:val="auto"/>
          <w:szCs w:val="21"/>
          <w:highlight w:val="none"/>
        </w:rPr>
        <w:t xml:space="preserve">-8）招标文件要求的其它实质性资格资信证明文件。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9</w:t>
      </w:r>
      <w:r>
        <w:rPr>
          <w:color w:val="auto"/>
          <w:szCs w:val="21"/>
          <w:highlight w:val="none"/>
        </w:rPr>
        <w:t xml:space="preserve">）</w:t>
      </w:r>
      <w:r>
        <w:rPr>
          <w:rFonts w:hint="eastAsia"/>
          <w:color w:val="auto"/>
          <w:szCs w:val="21"/>
          <w:highlight w:val="none"/>
        </w:rPr>
        <w:t xml:space="preserve">公章授权书</w:t>
      </w:r>
      <w:r>
        <w:rPr>
          <w:color w:val="auto"/>
          <w:szCs w:val="21"/>
          <w:highlight w:val="none"/>
        </w:rPr>
        <w:t xml:space="preserve">（如需），格式见附件。</w:t>
      </w:r>
      <w:r/>
    </w:p>
    <w:p>
      <w:pPr>
        <w:ind w:firstLine="210"/>
        <w:jc w:val="left"/>
        <w:spacing w:line="360" w:lineRule="auto"/>
        <w:rPr>
          <w:color w:val="auto"/>
          <w:szCs w:val="21"/>
          <w:highlight w:val="none"/>
        </w:rPr>
      </w:pPr>
      <w:r>
        <w:rPr>
          <w:rFonts w:hint="eastAsia"/>
          <w:color w:val="auto"/>
          <w:szCs w:val="21"/>
          <w:highlight w:val="none"/>
        </w:rPr>
        <w:t xml:space="preserve">（10）服务响应方案</w:t>
      </w:r>
      <w:r/>
    </w:p>
    <w:p>
      <w:pPr>
        <w:pStyle w:val="1062"/>
        <w:ind w:hanging="147"/>
        <w:rPr>
          <w:color w:val="auto"/>
          <w:highlight w:val="none"/>
        </w:rPr>
      </w:pPr>
      <w:r>
        <w:rPr>
          <w:rFonts w:hint="eastAsia"/>
          <w:color w:val="auto"/>
          <w:highlight w:val="none"/>
        </w:rPr>
        <w:t xml:space="preserve">（11）用于本项目人员简历表</w:t>
      </w:r>
      <w:r/>
    </w:p>
    <w:p>
      <w:pPr>
        <w:ind w:firstLine="422"/>
        <w:spacing w:before="156" w:line="360" w:lineRule="auto"/>
        <w:rPr>
          <w:b/>
          <w:color w:val="auto"/>
          <w:szCs w:val="21"/>
          <w:highlight w:val="none"/>
        </w:rPr>
      </w:pPr>
      <w:r>
        <w:rPr>
          <w:b/>
          <w:color w:val="auto"/>
          <w:szCs w:val="21"/>
          <w:highlight w:val="none"/>
        </w:rPr>
        <w:t xml:space="preserve">18.4投标文件的其他部分</w:t>
      </w:r>
      <w:r/>
    </w:p>
    <w:p>
      <w:pPr>
        <w:ind w:firstLine="420"/>
        <w:spacing w:before="156" w:line="360" w:lineRule="auto"/>
        <w:rPr>
          <w:color w:val="auto"/>
          <w:szCs w:val="21"/>
          <w:highlight w:val="none"/>
        </w:rPr>
      </w:pPr>
      <w:r>
        <w:rPr>
          <w:color w:val="auto"/>
          <w:szCs w:val="21"/>
          <w:highlight w:val="none"/>
        </w:rPr>
        <w:t xml:space="preserve">18.4.1投标文件的其他部分由投标人根据编制投标文件需要提供的其他相关文件组成。</w:t>
      </w:r>
      <w:r/>
    </w:p>
    <w:p>
      <w:pPr>
        <w:pStyle w:val="867"/>
        <w:ind w:left="0" w:right="210" w:firstLine="426"/>
        <w:spacing w:before="156" w:after="156" w:line="360" w:lineRule="auto"/>
        <w:rPr>
          <w:color w:val="auto"/>
          <w:szCs w:val="21"/>
          <w:highlight w:val="none"/>
        </w:rPr>
      </w:pPr>
      <w:r/>
      <w:bookmarkStart w:id="146" w:name="_Toc157070989"/>
      <w:r/>
      <w:bookmarkStart w:id="147" w:name="_Toc107246235"/>
      <w:r/>
      <w:bookmarkStart w:id="148" w:name="_Toc104560858"/>
      <w:r>
        <w:rPr>
          <w:color w:val="auto"/>
          <w:highlight w:val="none"/>
        </w:rPr>
        <w:t xml:space="preserve">19.投标文件编制的原则</w:t>
      </w:r>
      <w:bookmarkEnd w:id="146"/>
      <w:r/>
      <w:bookmarkEnd w:id="147"/>
      <w:r/>
      <w:bookmarkEnd w:id="148"/>
      <w:r/>
      <w:r/>
    </w:p>
    <w:p>
      <w:pPr>
        <w:ind w:firstLine="420"/>
        <w:spacing w:before="156" w:line="360" w:lineRule="auto"/>
        <w:rPr>
          <w:color w:val="auto"/>
          <w:szCs w:val="21"/>
          <w:highlight w:val="none"/>
        </w:rPr>
      </w:pPr>
      <w:r>
        <w:rPr>
          <w:bCs/>
          <w:color w:val="auto"/>
          <w:szCs w:val="21"/>
          <w:highlight w:val="none"/>
        </w:rPr>
        <w:t xml:space="preserve">19.1</w:t>
      </w:r>
      <w:r>
        <w:rPr>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60" w:lineRule="auto"/>
        <w:rPr>
          <w:color w:val="auto"/>
          <w:szCs w:val="21"/>
          <w:highlight w:val="none"/>
        </w:rPr>
      </w:pPr>
      <w:r>
        <w:rPr>
          <w:bCs/>
          <w:color w:val="auto"/>
          <w:szCs w:val="21"/>
          <w:highlight w:val="none"/>
        </w:rPr>
        <w:t xml:space="preserve">19.2</w:t>
      </w:r>
      <w:r>
        <w:rPr>
          <w:color w:val="auto"/>
          <w:szCs w:val="21"/>
          <w:highlight w:val="none"/>
        </w:rPr>
        <w:t xml:space="preserve">投标人必须保证投标文件所提供的全部资料真实可靠。</w:t>
      </w:r>
      <w:r/>
    </w:p>
    <w:p>
      <w:pPr>
        <w:ind w:firstLine="420"/>
        <w:spacing w:before="156" w:line="360" w:lineRule="auto"/>
        <w:rPr>
          <w:color w:val="auto"/>
          <w:szCs w:val="21"/>
          <w:highlight w:val="none"/>
        </w:rPr>
      </w:pPr>
      <w:r>
        <w:rPr>
          <w:bCs/>
          <w:color w:val="auto"/>
          <w:szCs w:val="21"/>
          <w:highlight w:val="none"/>
        </w:rPr>
        <w:t xml:space="preserve">19.3</w:t>
      </w:r>
      <w:r>
        <w:rPr>
          <w:color w:val="auto"/>
          <w:szCs w:val="21"/>
          <w:highlight w:val="none"/>
        </w:rPr>
        <w:t xml:space="preserve">投标文件须对招标文件中的内容做出实质性和完整的响应。</w:t>
      </w:r>
      <w:r/>
    </w:p>
    <w:p>
      <w:pPr>
        <w:pStyle w:val="867"/>
        <w:ind w:left="0" w:right="210" w:firstLine="426"/>
        <w:spacing w:before="156" w:after="156" w:line="360" w:lineRule="auto"/>
        <w:rPr>
          <w:color w:val="auto"/>
          <w:szCs w:val="21"/>
          <w:highlight w:val="none"/>
        </w:rPr>
      </w:pPr>
      <w:r/>
      <w:bookmarkStart w:id="149" w:name="_Toc107246236"/>
      <w:r/>
      <w:bookmarkStart w:id="150" w:name="_Toc157070990"/>
      <w:r>
        <w:rPr>
          <w:color w:val="auto"/>
          <w:highlight w:val="none"/>
        </w:rPr>
        <w:t xml:space="preserve">20.投标报价</w:t>
      </w:r>
      <w:bookmarkEnd w:id="149"/>
      <w:r/>
      <w:bookmarkEnd w:id="150"/>
      <w:r/>
      <w:r/>
    </w:p>
    <w:p>
      <w:pPr>
        <w:ind w:firstLine="420"/>
        <w:spacing w:before="156" w:line="360" w:lineRule="auto"/>
        <w:rPr>
          <w:color w:val="auto"/>
          <w:szCs w:val="21"/>
          <w:highlight w:val="none"/>
        </w:rPr>
      </w:pPr>
      <w:r>
        <w:rPr>
          <w:bCs/>
          <w:color w:val="auto"/>
          <w:szCs w:val="21"/>
          <w:highlight w:val="none"/>
        </w:rPr>
        <w:t xml:space="preserve">20.1</w:t>
      </w:r>
      <w:r>
        <w:rPr>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20.2</w:t>
      </w:r>
      <w:r>
        <w:rPr>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color w:val="auto"/>
          <w:szCs w:val="21"/>
          <w:highlight w:val="none"/>
        </w:rPr>
        <w:t xml:space="preserve">。</w:t>
      </w:r>
      <w:r/>
    </w:p>
    <w:p>
      <w:pPr>
        <w:ind w:firstLine="420"/>
        <w:spacing w:before="156" w:line="360" w:lineRule="auto"/>
        <w:rPr>
          <w:color w:val="auto"/>
          <w:szCs w:val="21"/>
          <w:highlight w:val="none"/>
        </w:rPr>
      </w:pPr>
      <w:r>
        <w:rPr>
          <w:bCs/>
          <w:color w:val="auto"/>
          <w:szCs w:val="21"/>
          <w:highlight w:val="none"/>
        </w:rPr>
        <w:t xml:space="preserve">20.3</w:t>
      </w:r>
      <w:r>
        <w:rPr>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60" w:lineRule="auto"/>
        <w:rPr>
          <w:color w:val="auto"/>
          <w:szCs w:val="21"/>
          <w:highlight w:val="none"/>
        </w:rPr>
      </w:pPr>
      <w:r>
        <w:rPr>
          <w:bCs/>
          <w:color w:val="auto"/>
          <w:szCs w:val="21"/>
          <w:highlight w:val="none"/>
        </w:rPr>
        <w:t xml:space="preserve">20.4</w:t>
      </w:r>
      <w:r>
        <w:rPr>
          <w:color w:val="auto"/>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before="156" w:line="360" w:lineRule="auto"/>
        <w:rPr>
          <w:color w:val="auto"/>
          <w:szCs w:val="21"/>
          <w:highlight w:val="none"/>
        </w:rPr>
      </w:pPr>
      <w:r>
        <w:rPr>
          <w:bCs/>
          <w:color w:val="auto"/>
          <w:szCs w:val="21"/>
          <w:highlight w:val="none"/>
        </w:rPr>
        <w:t xml:space="preserve">20.5</w:t>
      </w:r>
      <w:r>
        <w:rPr>
          <w:color w:val="auto"/>
          <w:szCs w:val="21"/>
          <w:highlight w:val="none"/>
        </w:rPr>
        <w:t xml:space="preserve">投标报价的其他要求见</w:t>
      </w:r>
      <w:r>
        <w:rPr>
          <w:b/>
          <w:color w:val="auto"/>
          <w:szCs w:val="21"/>
          <w:highlight w:val="none"/>
        </w:rPr>
        <w:t xml:space="preserve">投标人须知前附表</w:t>
      </w:r>
      <w:r>
        <w:rPr>
          <w:color w:val="auto"/>
          <w:szCs w:val="21"/>
          <w:highlight w:val="none"/>
        </w:rPr>
        <w:t xml:space="preserve">。</w:t>
      </w:r>
      <w:bookmarkEnd w:id="144"/>
      <w:r/>
      <w:bookmarkEnd w:id="145"/>
      <w:r/>
      <w:r/>
    </w:p>
    <w:p>
      <w:pPr>
        <w:pStyle w:val="867"/>
        <w:ind w:left="0" w:right="210" w:firstLine="426"/>
        <w:spacing w:before="156" w:after="156" w:line="360" w:lineRule="auto"/>
        <w:rPr>
          <w:color w:val="auto"/>
          <w:highlight w:val="none"/>
        </w:rPr>
      </w:pPr>
      <w:r/>
      <w:bookmarkStart w:id="151" w:name="_Toc107246237"/>
      <w:r/>
      <w:bookmarkStart w:id="152" w:name="_Toc104560859"/>
      <w:r/>
      <w:bookmarkStart w:id="153" w:name="_Toc100905224"/>
      <w:r/>
      <w:bookmarkStart w:id="154" w:name="_Toc103848545"/>
      <w:r/>
      <w:bookmarkStart w:id="155" w:name="_Toc157070991"/>
      <w:r/>
      <w:bookmarkStart w:id="156" w:name="_Toc100905223"/>
      <w:r/>
      <w:bookmarkStart w:id="157" w:name="_Toc96347878"/>
      <w:r/>
      <w:bookmarkStart w:id="158" w:name="_Toc103848544"/>
      <w:r>
        <w:rPr>
          <w:color w:val="auto"/>
          <w:highlight w:val="none"/>
        </w:rPr>
        <w:t xml:space="preserve">21.投标有效期</w:t>
      </w:r>
      <w:bookmarkEnd w:id="151"/>
      <w:r/>
      <w:bookmarkEnd w:id="152"/>
      <w:r/>
      <w:bookmarkEnd w:id="153"/>
      <w:r/>
      <w:bookmarkEnd w:id="154"/>
      <w:r/>
      <w:bookmarkEnd w:id="155"/>
      <w:r/>
      <w:r/>
    </w:p>
    <w:p>
      <w:pPr>
        <w:ind w:firstLine="420"/>
        <w:spacing w:before="156" w:line="360" w:lineRule="auto"/>
        <w:rPr>
          <w:b/>
          <w:bCs/>
          <w:color w:val="auto"/>
          <w:szCs w:val="21"/>
          <w:highlight w:val="none"/>
        </w:rPr>
      </w:pPr>
      <w:r>
        <w:rPr>
          <w:bCs/>
          <w:color w:val="auto"/>
          <w:szCs w:val="21"/>
          <w:highlight w:val="none"/>
        </w:rPr>
        <w:t xml:space="preserve">21.1投标有效期见</w:t>
      </w:r>
      <w:r>
        <w:rPr>
          <w:b/>
          <w:bCs/>
          <w:color w:val="auto"/>
          <w:szCs w:val="21"/>
          <w:highlight w:val="none"/>
        </w:rPr>
        <w:t xml:space="preserve">投标人须知前附表</w:t>
      </w:r>
      <w:r>
        <w:rPr>
          <w:bCs/>
          <w:color w:val="auto"/>
          <w:szCs w:val="21"/>
          <w:highlight w:val="none"/>
        </w:rPr>
        <w:t xml:space="preserve">，在此期间投标文件对投标人具有法律约束力，以保证采购人有足够的时间完成评标、定标以及签订合同。投标有效期从</w:t>
      </w:r>
      <w:r>
        <w:rPr>
          <w:b/>
          <w:bCs/>
          <w:color w:val="auto"/>
          <w:szCs w:val="21"/>
          <w:highlight w:val="none"/>
        </w:rPr>
        <w:t xml:space="preserve">投标人须知前附表</w:t>
      </w:r>
      <w:r>
        <w:rPr>
          <w:bCs/>
          <w:color w:val="auto"/>
          <w:szCs w:val="21"/>
          <w:highlight w:val="none"/>
        </w:rPr>
        <w:t xml:space="preserve">规定的投标截止之日起计算。</w:t>
      </w:r>
      <w:r>
        <w:rPr>
          <w:rFonts w:ascii="Segoe UI Symbol" w:hAnsi="Segoe UI Symbol" w:cs="Segoe UI Symbol"/>
          <w:b/>
          <w:color w:val="auto"/>
          <w:szCs w:val="21"/>
          <w:highlight w:val="none"/>
        </w:rPr>
        <w:t xml:space="preserve">★</w:t>
      </w:r>
      <w:r>
        <w:rPr>
          <w:b/>
          <w:bCs/>
          <w:color w:val="auto"/>
          <w:szCs w:val="21"/>
          <w:highlight w:val="none"/>
        </w:rPr>
        <w:t xml:space="preserve">投标有效期不足的，在评标时将其视为无效投标。</w:t>
      </w:r>
      <w:r/>
    </w:p>
    <w:p>
      <w:pPr>
        <w:ind w:firstLine="420"/>
        <w:spacing w:before="156" w:line="360" w:lineRule="auto"/>
        <w:rPr>
          <w:bCs/>
          <w:color w:val="auto"/>
          <w:szCs w:val="21"/>
          <w:highlight w:val="none"/>
        </w:rPr>
      </w:pPr>
      <w:r>
        <w:rPr>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67"/>
        <w:ind w:left="0" w:right="210" w:firstLine="426"/>
        <w:spacing w:before="156" w:after="156" w:line="360" w:lineRule="auto"/>
        <w:rPr>
          <w:color w:val="auto"/>
          <w:highlight w:val="none"/>
        </w:rPr>
      </w:pPr>
      <w:r/>
      <w:bookmarkStart w:id="159" w:name="_Toc104560860"/>
      <w:r/>
      <w:bookmarkStart w:id="160" w:name="_Toc107246238"/>
      <w:r/>
      <w:bookmarkStart w:id="161" w:name="_Toc157070992"/>
      <w:r>
        <w:rPr>
          <w:color w:val="auto"/>
          <w:highlight w:val="none"/>
        </w:rPr>
        <w:t xml:space="preserve">22.投标保证金</w:t>
      </w:r>
      <w:bookmarkEnd w:id="156"/>
      <w:r/>
      <w:bookmarkEnd w:id="157"/>
      <w:r/>
      <w:bookmarkEnd w:id="158"/>
      <w:r/>
      <w:bookmarkEnd w:id="159"/>
      <w:r/>
      <w:bookmarkEnd w:id="160"/>
      <w:r/>
      <w:bookmarkEnd w:id="161"/>
      <w:r/>
      <w:r/>
    </w:p>
    <w:p>
      <w:pPr>
        <w:ind w:firstLine="420"/>
        <w:spacing w:before="156" w:line="360" w:lineRule="auto"/>
        <w:rPr>
          <w:bCs/>
          <w:color w:val="auto"/>
          <w:szCs w:val="21"/>
          <w:highlight w:val="none"/>
        </w:rPr>
      </w:pPr>
      <w:r/>
      <w:bookmarkStart w:id="162" w:name="_Toc420487862"/>
      <w:r/>
      <w:bookmarkStart w:id="163" w:name="_Toc420657357"/>
      <w:r/>
      <w:bookmarkStart w:id="164" w:name="_Toc96347879"/>
      <w:r/>
      <w:bookmarkStart w:id="165" w:name="_Toc466452044"/>
      <w:r/>
      <w:bookmarkStart w:id="166" w:name="_Toc519241651"/>
      <w:r/>
      <w:bookmarkStart w:id="167" w:name="_Toc68159552"/>
      <w:r>
        <w:rPr>
          <w:bCs/>
          <w:color w:val="auto"/>
          <w:szCs w:val="21"/>
          <w:highlight w:val="none"/>
        </w:rPr>
        <w:t xml:space="preserve">22.1本项目是否交纳投标保证金见</w:t>
      </w:r>
      <w:r>
        <w:rPr>
          <w:b/>
          <w:bCs/>
          <w:color w:val="auto"/>
          <w:szCs w:val="21"/>
          <w:highlight w:val="none"/>
        </w:rPr>
        <w:t xml:space="preserve">投标人须知前附表</w:t>
      </w:r>
      <w:r>
        <w:rPr>
          <w:bCs/>
          <w:color w:val="auto"/>
          <w:szCs w:val="21"/>
          <w:highlight w:val="none"/>
        </w:rPr>
        <w:t xml:space="preserve">。</w:t>
      </w:r>
      <w:r/>
    </w:p>
    <w:p>
      <w:pPr>
        <w:ind w:firstLine="420"/>
        <w:spacing w:before="156" w:line="360" w:lineRule="auto"/>
        <w:rPr>
          <w:bCs/>
          <w:color w:val="auto"/>
          <w:szCs w:val="21"/>
          <w:highlight w:val="none"/>
        </w:rPr>
      </w:pPr>
      <w:r>
        <w:rPr>
          <w:bCs/>
          <w:color w:val="auto"/>
          <w:szCs w:val="21"/>
          <w:highlight w:val="none"/>
        </w:rPr>
        <w:t xml:space="preserve">22.2</w:t>
      </w:r>
      <w:r>
        <w:rPr>
          <w:b/>
          <w:bCs/>
          <w:color w:val="auto"/>
          <w:szCs w:val="21"/>
          <w:highlight w:val="none"/>
        </w:rPr>
        <w:t xml:space="preserve">投标人须知前附表</w:t>
      </w:r>
      <w:r>
        <w:rPr>
          <w:bCs/>
          <w:color w:val="auto"/>
          <w:szCs w:val="21"/>
          <w:highlight w:val="none"/>
        </w:rPr>
        <w:t xml:space="preserve">规定交纳投标保证金的，投标人应以支票、汇票、本票或金融机构、担保机构出具的保函等非现金形式，在</w:t>
      </w:r>
      <w:r>
        <w:rPr>
          <w:b/>
          <w:bCs/>
          <w:color w:val="auto"/>
          <w:szCs w:val="21"/>
          <w:highlight w:val="none"/>
        </w:rPr>
        <w:t xml:space="preserve">投标人须知前附表</w:t>
      </w:r>
      <w:r>
        <w:rPr>
          <w:bCs/>
          <w:color w:val="auto"/>
          <w:szCs w:val="21"/>
          <w:highlight w:val="none"/>
        </w:rPr>
        <w:t xml:space="preserve">规定的投标截止时间前，向采购方提交</w:t>
      </w:r>
      <w:r>
        <w:rPr>
          <w:b/>
          <w:bCs/>
          <w:color w:val="auto"/>
          <w:szCs w:val="21"/>
          <w:highlight w:val="none"/>
        </w:rPr>
        <w:t xml:space="preserve">投标人须知前附表</w:t>
      </w:r>
      <w:r>
        <w:rPr>
          <w:bCs/>
          <w:color w:val="auto"/>
          <w:szCs w:val="21"/>
          <w:highlight w:val="none"/>
        </w:rPr>
        <w:t xml:space="preserve">规定的投标保证金(数额采用四舍五入，计算至元)。投标保证金有效期应与</w:t>
      </w:r>
      <w:r>
        <w:rPr>
          <w:b/>
          <w:bCs/>
          <w:color w:val="auto"/>
          <w:szCs w:val="21"/>
          <w:highlight w:val="none"/>
        </w:rPr>
        <w:t xml:space="preserve">投标人须知前附表</w:t>
      </w:r>
      <w:r>
        <w:rPr>
          <w:bCs/>
          <w:color w:val="auto"/>
          <w:szCs w:val="21"/>
          <w:highlight w:val="none"/>
        </w:rPr>
        <w:t xml:space="preserve">规定的投标有效期一致。</w:t>
      </w:r>
      <w:r>
        <w:rPr>
          <w:b/>
          <w:color w:val="auto"/>
          <w:szCs w:val="21"/>
          <w:highlight w:val="none"/>
        </w:rPr>
        <w:t xml:space="preserve">投标人未按规定缴纳投标保证金的或</w:t>
      </w:r>
      <w:r>
        <w:rPr>
          <w:b/>
          <w:bCs/>
          <w:color w:val="auto"/>
          <w:szCs w:val="21"/>
          <w:highlight w:val="none"/>
        </w:rPr>
        <w:t xml:space="preserve">由于到账时间晚于投标截止时间的，或者票据错误、印鉴不清等原因导致不能到账的，其投标无效。</w:t>
      </w:r>
      <w:r/>
    </w:p>
    <w:p>
      <w:pPr>
        <w:ind w:firstLine="420"/>
        <w:spacing w:before="156" w:line="360" w:lineRule="auto"/>
        <w:rPr>
          <w:bCs/>
          <w:color w:val="auto"/>
          <w:szCs w:val="21"/>
          <w:highlight w:val="none"/>
        </w:rPr>
      </w:pPr>
      <w:r>
        <w:rPr>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before="156" w:line="360" w:lineRule="auto"/>
        <w:rPr>
          <w:bCs/>
          <w:color w:val="auto"/>
          <w:szCs w:val="21"/>
          <w:highlight w:val="none"/>
        </w:rPr>
      </w:pPr>
      <w:r>
        <w:rPr>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before="156" w:line="360" w:lineRule="auto"/>
        <w:rPr>
          <w:bCs/>
          <w:color w:val="auto"/>
          <w:szCs w:val="21"/>
          <w:highlight w:val="none"/>
        </w:rPr>
      </w:pPr>
      <w:r>
        <w:rPr>
          <w:bCs/>
          <w:color w:val="auto"/>
          <w:szCs w:val="21"/>
          <w:highlight w:val="none"/>
        </w:rPr>
        <w:t xml:space="preserve">22.5中标的投标人的投标保证金，将在政府采购合同签订后5个工作日内退还中标人。</w:t>
      </w:r>
      <w:r/>
    </w:p>
    <w:p>
      <w:pPr>
        <w:ind w:firstLine="420"/>
        <w:spacing w:before="156" w:line="360" w:lineRule="auto"/>
        <w:rPr>
          <w:bCs/>
          <w:color w:val="auto"/>
          <w:szCs w:val="21"/>
          <w:highlight w:val="none"/>
        </w:rPr>
      </w:pPr>
      <w:r>
        <w:rPr>
          <w:bCs/>
          <w:color w:val="auto"/>
          <w:szCs w:val="21"/>
          <w:highlight w:val="none"/>
        </w:rPr>
        <w:t xml:space="preserve">22.6投标人有以下情形之一的，投标保证金可以不予退还（本款仅适用于要求递交投标保证金的项目）：</w:t>
      </w:r>
      <w:bookmarkEnd w:id="162"/>
      <w:r/>
      <w:bookmarkEnd w:id="163"/>
      <w:r/>
      <w:bookmarkEnd w:id="164"/>
      <w:r/>
      <w:bookmarkEnd w:id="165"/>
      <w:r/>
      <w:bookmarkEnd w:id="166"/>
      <w:r/>
      <w:bookmarkEnd w:id="167"/>
      <w:r/>
      <w:r/>
    </w:p>
    <w:p>
      <w:pPr>
        <w:ind w:firstLine="315"/>
        <w:jc w:val="left"/>
        <w:spacing w:line="360" w:lineRule="auto"/>
        <w:rPr>
          <w:color w:val="auto"/>
          <w:szCs w:val="21"/>
          <w:highlight w:val="none"/>
        </w:rPr>
      </w:pPr>
      <w:r/>
      <w:bookmarkStart w:id="168" w:name="_Toc96347880"/>
      <w:r/>
      <w:bookmarkStart w:id="169" w:name="_Toc104560861"/>
      <w:r/>
      <w:bookmarkStart w:id="170" w:name="_Toc103848546"/>
      <w:r/>
      <w:bookmarkStart w:id="171" w:name="_Toc100905225"/>
      <w:r>
        <w:rPr>
          <w:color w:val="auto"/>
          <w:szCs w:val="21"/>
          <w:highlight w:val="none"/>
        </w:rPr>
        <w:t xml:space="preserve">（1）投标人在招标文件规定的投标有效期内撤销其投标文件；</w:t>
      </w:r>
      <w:r/>
    </w:p>
    <w:p>
      <w:pPr>
        <w:ind w:firstLine="315"/>
        <w:jc w:val="left"/>
        <w:spacing w:line="360" w:lineRule="auto"/>
        <w:rPr>
          <w:color w:val="auto"/>
          <w:szCs w:val="21"/>
          <w:highlight w:val="none"/>
        </w:rPr>
      </w:pPr>
      <w:r>
        <w:rPr>
          <w:color w:val="auto"/>
          <w:szCs w:val="21"/>
          <w:highlight w:val="none"/>
        </w:rPr>
        <w:t xml:space="preserve">（2）投标人在投标文件中提供虚假材料的；</w:t>
      </w:r>
      <w:r/>
    </w:p>
    <w:p>
      <w:pPr>
        <w:ind w:firstLine="315"/>
        <w:jc w:val="left"/>
        <w:spacing w:line="360" w:lineRule="auto"/>
        <w:rPr>
          <w:color w:val="auto"/>
          <w:szCs w:val="21"/>
          <w:highlight w:val="none"/>
        </w:rPr>
      </w:pPr>
      <w:r>
        <w:rPr>
          <w:color w:val="auto"/>
          <w:szCs w:val="21"/>
          <w:highlight w:val="none"/>
        </w:rPr>
        <w:t xml:space="preserve">（3）投标人在本次采购活动中存在恶意串通行为的；</w:t>
      </w:r>
      <w:r/>
    </w:p>
    <w:p>
      <w:pPr>
        <w:ind w:firstLine="315"/>
        <w:jc w:val="left"/>
        <w:spacing w:line="360" w:lineRule="auto"/>
        <w:rPr>
          <w:color w:val="auto"/>
          <w:szCs w:val="21"/>
          <w:highlight w:val="none"/>
        </w:rPr>
      </w:pPr>
      <w:r>
        <w:rPr>
          <w:color w:val="auto"/>
          <w:szCs w:val="21"/>
          <w:highlight w:val="none"/>
        </w:rPr>
        <w:t xml:space="preserve">（4）中标人未能按规定交纳采购代理服务费；</w:t>
      </w:r>
      <w:r/>
    </w:p>
    <w:p>
      <w:pPr>
        <w:ind w:firstLine="315"/>
        <w:jc w:val="left"/>
        <w:spacing w:line="360" w:lineRule="auto"/>
        <w:rPr>
          <w:color w:val="auto"/>
          <w:szCs w:val="21"/>
          <w:highlight w:val="none"/>
        </w:rPr>
      </w:pPr>
      <w:r>
        <w:rPr>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color w:val="auto"/>
          <w:szCs w:val="21"/>
          <w:highlight w:val="none"/>
        </w:rPr>
      </w:pPr>
      <w:r>
        <w:rPr>
          <w:color w:val="auto"/>
          <w:szCs w:val="21"/>
          <w:highlight w:val="none"/>
        </w:rPr>
        <w:t xml:space="preserve">（6）招标文件规定的其他可以不予退还投标保证金的情形。</w:t>
      </w:r>
      <w:r/>
    </w:p>
    <w:p>
      <w:pPr>
        <w:pStyle w:val="867"/>
        <w:ind w:left="0" w:right="210" w:firstLine="426"/>
        <w:spacing w:before="156" w:after="156" w:line="360" w:lineRule="auto"/>
        <w:rPr>
          <w:color w:val="auto"/>
          <w:highlight w:val="none"/>
        </w:rPr>
      </w:pPr>
      <w:r/>
      <w:bookmarkStart w:id="172" w:name="_Toc107246239"/>
      <w:r/>
      <w:bookmarkStart w:id="173" w:name="_Toc157070993"/>
      <w:r>
        <w:rPr>
          <w:color w:val="auto"/>
          <w:highlight w:val="none"/>
        </w:rPr>
        <w:t xml:space="preserve">23.投标文件的制作和签署</w:t>
      </w:r>
      <w:bookmarkEnd w:id="168"/>
      <w:r/>
      <w:bookmarkEnd w:id="169"/>
      <w:r/>
      <w:bookmarkEnd w:id="170"/>
      <w:r/>
      <w:bookmarkEnd w:id="171"/>
      <w:r/>
      <w:bookmarkEnd w:id="172"/>
      <w:r/>
      <w:bookmarkEnd w:id="173"/>
      <w:r/>
      <w:r/>
    </w:p>
    <w:p>
      <w:pPr>
        <w:ind w:firstLine="420"/>
        <w:spacing w:before="156" w:line="360" w:lineRule="auto"/>
        <w:rPr>
          <w:bCs/>
          <w:color w:val="auto"/>
          <w:szCs w:val="21"/>
          <w:highlight w:val="none"/>
        </w:rPr>
      </w:pPr>
      <w:r>
        <w:rPr>
          <w:bCs/>
          <w:color w:val="auto"/>
          <w:szCs w:val="21"/>
          <w:highlight w:val="none"/>
        </w:rPr>
        <w:t xml:space="preserve">23.1投标人应严格按照</w:t>
      </w:r>
      <w:r>
        <w:rPr>
          <w:b/>
          <w:bCs/>
          <w:color w:val="auto"/>
          <w:szCs w:val="21"/>
          <w:highlight w:val="none"/>
        </w:rPr>
        <w:t xml:space="preserve">投标人须知前附表</w:t>
      </w:r>
      <w:r>
        <w:rPr>
          <w:bCs/>
          <w:color w:val="auto"/>
          <w:szCs w:val="21"/>
          <w:highlight w:val="none"/>
        </w:rPr>
        <w:t xml:space="preserve">要求的份数准备投标文件。纸质文件的正本和副本应装订成册。正本和副本的封面应注明“正本”或“副本”的字样，当正本和副本、电子版不一致时，以正本为准。</w:t>
      </w:r>
      <w:r/>
    </w:p>
    <w:p>
      <w:pPr>
        <w:ind w:firstLine="420"/>
        <w:spacing w:before="156" w:line="360" w:lineRule="auto"/>
        <w:rPr>
          <w:bCs/>
          <w:color w:val="auto"/>
          <w:szCs w:val="21"/>
          <w:highlight w:val="none"/>
        </w:rPr>
      </w:pPr>
      <w:r>
        <w:rPr>
          <w:bCs/>
          <w:color w:val="auto"/>
          <w:szCs w:val="21"/>
          <w:highlight w:val="none"/>
        </w:rPr>
        <w:t xml:space="preserve">23.2投标文件的正本需打印或用不退色墨水书写，副本可为正本文件的复印件，电子文档应为正本的扫描件。</w:t>
      </w:r>
      <w:r>
        <w:rPr>
          <w:b/>
          <w:bCs/>
          <w:color w:val="auto"/>
          <w:szCs w:val="21"/>
          <w:highlight w:val="none"/>
        </w:rPr>
        <w:t xml:space="preserve">正本应加盖公章并由投标人法定代表人（单位负责人）或其授权代表签字。授权代表须提供法定代表人以书面形式出具的</w:t>
      </w:r>
      <w:r>
        <w:rPr>
          <w:bCs/>
          <w:color w:val="auto"/>
          <w:szCs w:val="21"/>
          <w:highlight w:val="none"/>
        </w:rPr>
        <w:t xml:space="preserve">“</w:t>
      </w:r>
      <w:r>
        <w:rPr>
          <w:b/>
          <w:bCs/>
          <w:color w:val="auto"/>
          <w:szCs w:val="21"/>
          <w:highlight w:val="none"/>
        </w:rPr>
        <w:t xml:space="preserve">法定代表人授权书”（原件，由法定代表人签章并加盖企业公章。）授权其负责本项目投标。授权书原件须放入正本投标文件中。</w:t>
      </w:r>
      <w:r/>
    </w:p>
    <w:p>
      <w:pPr>
        <w:ind w:firstLine="420"/>
        <w:spacing w:before="156" w:line="360" w:lineRule="auto"/>
        <w:rPr>
          <w:bCs/>
          <w:color w:val="auto"/>
          <w:szCs w:val="21"/>
          <w:highlight w:val="none"/>
        </w:rPr>
      </w:pPr>
      <w:r>
        <w:rPr>
          <w:bCs/>
          <w:color w:val="auto"/>
          <w:szCs w:val="21"/>
          <w:highlight w:val="none"/>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before="156" w:line="360" w:lineRule="auto"/>
        <w:rPr>
          <w:bCs/>
          <w:color w:val="auto"/>
          <w:szCs w:val="21"/>
          <w:highlight w:val="none"/>
        </w:rPr>
      </w:pPr>
      <w:r>
        <w:rPr>
          <w:bCs/>
          <w:color w:val="auto"/>
          <w:szCs w:val="21"/>
          <w:highlight w:val="none"/>
        </w:rPr>
        <w:t xml:space="preserve">23.4</w:t>
      </w:r>
      <w:r>
        <w:rPr>
          <w:b/>
          <w:color w:val="auto"/>
          <w:szCs w:val="21"/>
          <w:highlight w:val="none"/>
        </w:rPr>
        <w:t xml:space="preserve">如投标过程中投标人使用其他形式的印章（如电子印章、带有“专用章”等字样的印章），须提供“公章授权书”</w:t>
      </w:r>
      <w:r>
        <w:rPr>
          <w:b/>
          <w:color w:val="auto"/>
          <w:highlight w:val="none"/>
        </w:rPr>
        <w:t xml:space="preserve">（格式见后）</w:t>
      </w:r>
      <w:r>
        <w:rPr>
          <w:b/>
          <w:color w:val="auto"/>
          <w:szCs w:val="21"/>
          <w:highlight w:val="none"/>
        </w:rPr>
        <w:t xml:space="preserve">，明确“针对本次项目，我单位电子印章或专用章作为直接参与投标时相关文件的签章，其效力等同于公章”，“公章授权书”须同时加盖投标人公章及本次投标使用的电子印章或专用章，否则不予认可。</w:t>
      </w:r>
      <w:r/>
    </w:p>
    <w:p>
      <w:pPr>
        <w:ind w:firstLine="420"/>
        <w:spacing w:before="156" w:line="360" w:lineRule="auto"/>
        <w:rPr>
          <w:bCs/>
          <w:color w:val="auto"/>
          <w:szCs w:val="21"/>
          <w:highlight w:val="none"/>
        </w:rPr>
      </w:pPr>
      <w:r>
        <w:rPr>
          <w:bCs/>
          <w:color w:val="auto"/>
          <w:szCs w:val="21"/>
          <w:highlight w:val="none"/>
        </w:rPr>
        <w:t xml:space="preserve">23.5除投标人对错处做必要修改外，投标文件不得行间插字、涂改或增删。如有修改错漏处，必须由法定代表人或其授权代表签字或盖章方有效。</w:t>
      </w:r>
      <w:r/>
    </w:p>
    <w:p>
      <w:pPr>
        <w:ind w:firstLine="420"/>
        <w:jc w:val="left"/>
        <w:spacing w:line="360" w:lineRule="auto"/>
        <w:rPr>
          <w:color w:val="auto"/>
          <w:szCs w:val="21"/>
          <w:highlight w:val="none"/>
        </w:rPr>
      </w:pPr>
      <w:r>
        <w:rPr>
          <w:bCs/>
          <w:color w:val="auto"/>
          <w:szCs w:val="21"/>
          <w:highlight w:val="none"/>
        </w:rPr>
        <w:t xml:space="preserve">23.6</w:t>
      </w:r>
      <w:r>
        <w:rPr>
          <w:color w:val="auto"/>
          <w:szCs w:val="21"/>
          <w:highlight w:val="none"/>
        </w:rPr>
        <w:t xml:space="preserve">投标文件建议采用A4软面胶装，建议不要使用硬壳封面。投标文件须逐页编制页码并插入目录，便于采购人查阅文件。为节约纸张，建议尽量双面打印并装订成册。</w:t>
      </w:r>
      <w:r/>
    </w:p>
    <w:p>
      <w:pPr>
        <w:pStyle w:val="867"/>
        <w:ind w:left="0" w:right="210" w:firstLine="637"/>
        <w:spacing w:before="156" w:after="156" w:line="360" w:lineRule="auto"/>
        <w:rPr>
          <w:color w:val="auto"/>
          <w:highlight w:val="none"/>
        </w:rPr>
      </w:pPr>
      <w:r/>
      <w:bookmarkStart w:id="174" w:name="_Toc107246240"/>
      <w:r/>
      <w:bookmarkStart w:id="175" w:name="_Toc157070994"/>
      <w:r>
        <w:rPr>
          <w:color w:val="auto"/>
          <w:highlight w:val="none"/>
        </w:rPr>
        <w:t xml:space="preserve">四．投标文件的递交</w:t>
      </w:r>
      <w:bookmarkEnd w:id="174"/>
      <w:r/>
      <w:bookmarkEnd w:id="175"/>
      <w:r/>
      <w:r/>
    </w:p>
    <w:p>
      <w:pPr>
        <w:pStyle w:val="867"/>
        <w:ind w:left="0" w:right="210" w:firstLine="426"/>
        <w:spacing w:before="156" w:after="156" w:line="360" w:lineRule="auto"/>
        <w:rPr>
          <w:color w:val="auto"/>
          <w:highlight w:val="none"/>
        </w:rPr>
      </w:pPr>
      <w:r/>
      <w:bookmarkStart w:id="176" w:name="_Toc104560863"/>
      <w:r/>
      <w:bookmarkStart w:id="177" w:name="_Toc103848548"/>
      <w:r/>
      <w:bookmarkStart w:id="178" w:name="_Toc157070995"/>
      <w:r/>
      <w:bookmarkStart w:id="179" w:name="_Toc96347881"/>
      <w:r/>
      <w:bookmarkStart w:id="180" w:name="_Toc107246241"/>
      <w:r/>
      <w:bookmarkStart w:id="181" w:name="_Toc100905226"/>
      <w:r>
        <w:rPr>
          <w:color w:val="auto"/>
          <w:highlight w:val="none"/>
        </w:rPr>
        <w:t xml:space="preserve">24.投标文件的密封和标记</w:t>
      </w:r>
      <w:bookmarkEnd w:id="176"/>
      <w:r/>
      <w:bookmarkEnd w:id="177"/>
      <w:r/>
      <w:bookmarkEnd w:id="178"/>
      <w:r/>
      <w:bookmarkEnd w:id="179"/>
      <w:r/>
      <w:bookmarkEnd w:id="180"/>
      <w:r/>
      <w:bookmarkEnd w:id="181"/>
      <w:r/>
      <w:r/>
    </w:p>
    <w:p>
      <w:pPr>
        <w:ind w:firstLine="420"/>
        <w:jc w:val="left"/>
        <w:spacing w:line="360" w:lineRule="auto"/>
        <w:rPr>
          <w:color w:val="auto"/>
          <w:szCs w:val="21"/>
          <w:highlight w:val="none"/>
        </w:rPr>
      </w:pPr>
      <w:r/>
      <w:bookmarkStart w:id="182" w:name="_Toc4536"/>
      <w:r/>
      <w:bookmarkStart w:id="183" w:name="_Toc5042"/>
      <w:r/>
      <w:bookmarkStart w:id="184" w:name="_Toc100905227"/>
      <w:r/>
      <w:bookmarkStart w:id="185" w:name="_Toc469850063"/>
      <w:r/>
      <w:bookmarkStart w:id="186" w:name="_Toc38931800"/>
      <w:r/>
      <w:bookmarkStart w:id="187" w:name="_Toc46219699"/>
      <w:r/>
      <w:bookmarkStart w:id="188" w:name="_Toc46960670"/>
      <w:r/>
      <w:bookmarkStart w:id="189" w:name="_Toc97561941"/>
      <w:r/>
      <w:bookmarkStart w:id="190" w:name="_Toc11464"/>
      <w:r/>
      <w:bookmarkStart w:id="191" w:name="_Toc48151397"/>
      <w:r/>
      <w:bookmarkStart w:id="192" w:name="_Toc11952"/>
      <w:r/>
      <w:bookmarkStart w:id="193" w:name="_Toc19963"/>
      <w:r/>
      <w:bookmarkStart w:id="194" w:name="_Toc96347882"/>
      <w:r/>
      <w:bookmarkStart w:id="195" w:name="_Toc89586904"/>
      <w:r/>
      <w:bookmarkStart w:id="196" w:name="_Toc46939510"/>
      <w:r/>
      <w:bookmarkStart w:id="197" w:name="_Toc103848549"/>
      <w:r/>
      <w:bookmarkStart w:id="198" w:name="_Toc38933357"/>
      <w:r/>
      <w:bookmarkStart w:id="199" w:name="_Toc91399404"/>
      <w:r/>
      <w:bookmarkStart w:id="200" w:name="_Toc38931614"/>
      <w:r/>
      <w:bookmarkStart w:id="201" w:name="_Toc50528805"/>
      <w:r/>
      <w:bookmarkStart w:id="202" w:name="_Toc40202948"/>
      <w:r/>
      <w:bookmarkStart w:id="203" w:name="_Toc51928343"/>
      <w:r>
        <w:rPr>
          <w:bCs/>
          <w:color w:val="auto"/>
          <w:szCs w:val="21"/>
          <w:highlight w:val="none"/>
        </w:rPr>
        <w:t xml:space="preserve">24.1</w:t>
      </w:r>
      <w:r>
        <w:rPr>
          <w:color w:val="auto"/>
          <w:szCs w:val="21"/>
          <w:highlight w:val="none"/>
        </w:rPr>
        <w:t xml:space="preserve">投标文件的正本、副本以及电子文档均应密封送达投标地点，密封包装上按照投标人</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b/>
          <w:bCs/>
          <w:color w:val="auto"/>
          <w:szCs w:val="21"/>
          <w:highlight w:val="none"/>
        </w:rPr>
        <w:t xml:space="preserve">24.2</w:t>
      </w:r>
      <w:r>
        <w:rPr>
          <w:b/>
          <w:color w:val="auto"/>
          <w:szCs w:val="21"/>
          <w:highlight w:val="none"/>
        </w:rPr>
        <w:t xml:space="preserve">未密封的投标文件，将被拒绝。</w:t>
      </w:r>
      <w:r/>
    </w:p>
    <w:p>
      <w:pPr>
        <w:ind w:firstLine="420"/>
        <w:spacing w:before="156" w:line="360" w:lineRule="auto"/>
        <w:rPr>
          <w:bCs/>
          <w:color w:val="auto"/>
          <w:szCs w:val="21"/>
          <w:highlight w:val="none"/>
        </w:rPr>
      </w:pPr>
      <w:r>
        <w:rPr>
          <w:bCs/>
          <w:color w:val="auto"/>
          <w:szCs w:val="21"/>
          <w:highlight w:val="none"/>
        </w:rPr>
        <w:t xml:space="preserve">24.3未按要求密封和标记，采购代理机构对误投或过早启封概不负责。</w:t>
      </w:r>
      <w:r/>
    </w:p>
    <w:p>
      <w:pPr>
        <w:ind w:firstLine="420"/>
        <w:spacing w:before="156" w:line="360" w:lineRule="auto"/>
        <w:rPr>
          <w:bCs/>
          <w:color w:val="auto"/>
          <w:szCs w:val="21"/>
          <w:highlight w:val="none"/>
        </w:rPr>
      </w:pPr>
      <w:r>
        <w:rPr>
          <w:bCs/>
          <w:color w:val="auto"/>
          <w:szCs w:val="21"/>
          <w:highlight w:val="none"/>
        </w:rPr>
        <w:t xml:space="preserve">24.</w:t>
      </w:r>
      <w:bookmarkStart w:id="204" w:name="_Toc104560864"/>
      <w:r>
        <w:rPr>
          <w:bCs/>
          <w:color w:val="auto"/>
          <w:szCs w:val="21"/>
          <w:highlight w:val="none"/>
        </w:rPr>
        <w:t xml:space="preserve">4开标后，不论投标人中标与否，投标文件均不予退回。</w:t>
      </w:r>
      <w:r/>
    </w:p>
    <w:p>
      <w:pPr>
        <w:pStyle w:val="867"/>
        <w:ind w:left="0" w:right="210" w:firstLine="426"/>
        <w:spacing w:before="156" w:after="156" w:line="360" w:lineRule="auto"/>
        <w:rPr>
          <w:color w:val="auto"/>
          <w:highlight w:val="none"/>
        </w:rPr>
      </w:pPr>
      <w:r/>
      <w:bookmarkStart w:id="205" w:name="_Toc107246242"/>
      <w:r/>
      <w:bookmarkStart w:id="206" w:name="_Toc157070996"/>
      <w:r>
        <w:rPr>
          <w:color w:val="auto"/>
          <w:highlight w:val="none"/>
        </w:rPr>
        <w:t xml:space="preserve">25.</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color w:val="auto"/>
          <w:highlight w:val="none"/>
        </w:rPr>
        <w:t xml:space="preserve">投标截止时间</w:t>
      </w:r>
      <w:bookmarkEnd w:id="205"/>
      <w:r/>
      <w:bookmarkEnd w:id="206"/>
      <w:r/>
      <w:r/>
    </w:p>
    <w:p>
      <w:pPr>
        <w:ind w:firstLine="420"/>
        <w:spacing w:before="156" w:line="360" w:lineRule="auto"/>
        <w:rPr>
          <w:bCs/>
          <w:color w:val="auto"/>
          <w:szCs w:val="21"/>
          <w:highlight w:val="none"/>
        </w:rPr>
      </w:pPr>
      <w:r/>
      <w:bookmarkStart w:id="207" w:name="_Toc96347883"/>
      <w:r>
        <w:rPr>
          <w:bCs/>
          <w:color w:val="auto"/>
          <w:szCs w:val="21"/>
          <w:highlight w:val="none"/>
        </w:rPr>
        <w:t xml:space="preserve">25.1投标文件应在</w:t>
      </w:r>
      <w:r>
        <w:rPr>
          <w:b/>
          <w:bCs/>
          <w:color w:val="auto"/>
          <w:szCs w:val="21"/>
          <w:highlight w:val="none"/>
        </w:rPr>
        <w:t xml:space="preserve">投标人须知前附表</w:t>
      </w:r>
      <w:r>
        <w:rPr>
          <w:bCs/>
          <w:color w:val="auto"/>
          <w:szCs w:val="21"/>
          <w:highlight w:val="none"/>
        </w:rPr>
        <w:t xml:space="preserve">规定的投标截止时间之前密封送到</w:t>
      </w:r>
      <w:r>
        <w:rPr>
          <w:b/>
          <w:bCs/>
          <w:color w:val="auto"/>
          <w:szCs w:val="21"/>
          <w:highlight w:val="none"/>
        </w:rPr>
        <w:t xml:space="preserve">投标人须知前附表</w:t>
      </w:r>
      <w:r>
        <w:rPr>
          <w:bCs/>
          <w:color w:val="auto"/>
          <w:szCs w:val="21"/>
          <w:highlight w:val="none"/>
        </w:rPr>
        <w:t xml:space="preserve">指定的地点。</w:t>
      </w:r>
      <w:r/>
    </w:p>
    <w:p>
      <w:pPr>
        <w:ind w:firstLine="422"/>
        <w:spacing w:before="156" w:line="360" w:lineRule="auto"/>
        <w:rPr>
          <w:b/>
          <w:bCs/>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25.2采购方将拒绝并退回在其规定的投标截止时间后收到的任何投标文件。</w:t>
      </w:r>
      <w:r/>
    </w:p>
    <w:p>
      <w:pPr>
        <w:pStyle w:val="867"/>
        <w:ind w:left="0" w:right="210" w:firstLine="426"/>
        <w:spacing w:before="156" w:after="156" w:line="360" w:lineRule="auto"/>
        <w:rPr>
          <w:color w:val="auto"/>
          <w:highlight w:val="none"/>
        </w:rPr>
      </w:pPr>
      <w:r/>
      <w:bookmarkStart w:id="208" w:name="_Toc104560865"/>
      <w:r/>
      <w:bookmarkStart w:id="209" w:name="_Toc107246243"/>
      <w:r/>
      <w:bookmarkStart w:id="210" w:name="_Toc100905228"/>
      <w:r/>
      <w:bookmarkStart w:id="211" w:name="_Toc103848550"/>
      <w:r/>
      <w:bookmarkStart w:id="212" w:name="_Toc157070997"/>
      <w:r>
        <w:rPr>
          <w:color w:val="auto"/>
          <w:highlight w:val="none"/>
        </w:rPr>
        <w:t xml:space="preserve">26.投标文件的修改和撤回</w:t>
      </w:r>
      <w:bookmarkEnd w:id="139"/>
      <w:r/>
      <w:bookmarkEnd w:id="207"/>
      <w:r/>
      <w:bookmarkEnd w:id="208"/>
      <w:r/>
      <w:bookmarkEnd w:id="209"/>
      <w:r/>
      <w:bookmarkEnd w:id="210"/>
      <w:r/>
      <w:bookmarkEnd w:id="211"/>
      <w:r/>
      <w:bookmarkEnd w:id="212"/>
      <w:r/>
      <w:r/>
    </w:p>
    <w:p>
      <w:pPr>
        <w:ind w:firstLine="420"/>
        <w:spacing w:before="156" w:line="360" w:lineRule="auto"/>
        <w:rPr>
          <w:bCs/>
          <w:color w:val="auto"/>
          <w:szCs w:val="21"/>
          <w:highlight w:val="none"/>
        </w:rPr>
      </w:pPr>
      <w:r/>
      <w:bookmarkStart w:id="213" w:name="_Toc80264714"/>
      <w:r>
        <w:rPr>
          <w:bCs/>
          <w:color w:val="auto"/>
          <w:szCs w:val="21"/>
          <w:highlight w:val="none"/>
        </w:rPr>
        <w:t xml:space="preserve">26.1投标人在递交投标文件后，可以修改或撤回其投标文件，但这种修改和撤回，必须在规定的投标截止时间前，以书面形式通知采购方。</w:t>
      </w:r>
      <w:r/>
    </w:p>
    <w:p>
      <w:pPr>
        <w:ind w:firstLine="420"/>
        <w:jc w:val="left"/>
        <w:spacing w:line="360" w:lineRule="auto"/>
        <w:rPr>
          <w:color w:val="auto"/>
          <w:szCs w:val="21"/>
          <w:highlight w:val="none"/>
        </w:rPr>
      </w:pPr>
      <w:r>
        <w:rPr>
          <w:bCs/>
          <w:color w:val="auto"/>
          <w:szCs w:val="21"/>
          <w:highlight w:val="none"/>
        </w:rPr>
        <w:t xml:space="preserve">26.2</w:t>
      </w:r>
      <w:r>
        <w:rPr>
          <w:color w:val="auto"/>
          <w:szCs w:val="21"/>
          <w:highlight w:val="none"/>
        </w:rPr>
        <w:t xml:space="preserve">投标人对投标文件的补充、修改的内容应当按照采购文件要求签署、盖章、密封后，作为投标文件的组成部分。</w:t>
      </w:r>
      <w:r/>
    </w:p>
    <w:p>
      <w:pPr>
        <w:ind w:firstLine="420"/>
        <w:spacing w:before="156" w:line="360" w:lineRule="auto"/>
        <w:rPr>
          <w:bCs/>
          <w:color w:val="auto"/>
          <w:szCs w:val="21"/>
          <w:highlight w:val="none"/>
        </w:rPr>
      </w:pPr>
      <w:r>
        <w:rPr>
          <w:bCs/>
          <w:color w:val="auto"/>
          <w:szCs w:val="21"/>
          <w:highlight w:val="none"/>
        </w:rPr>
        <w:t xml:space="preserve">26.3 在投标截止时间之后，投标人不得对其投标文件作任何修改。</w:t>
      </w:r>
      <w:r/>
    </w:p>
    <w:p>
      <w:pPr>
        <w:ind w:firstLine="420"/>
        <w:spacing w:before="156" w:line="360" w:lineRule="auto"/>
        <w:rPr>
          <w:bCs/>
          <w:color w:val="auto"/>
          <w:szCs w:val="21"/>
          <w:highlight w:val="none"/>
        </w:rPr>
      </w:pPr>
      <w:r>
        <w:rPr>
          <w:bCs/>
          <w:color w:val="auto"/>
          <w:szCs w:val="21"/>
          <w:highlight w:val="none"/>
        </w:rPr>
        <w:t xml:space="preserve">26.4 在投标截止时间至采购文件中规定的投标有效期满之间的这段时间内，投标人不得撤回其投标。</w:t>
      </w:r>
      <w:r/>
    </w:p>
    <w:p>
      <w:pPr>
        <w:pStyle w:val="867"/>
        <w:ind w:left="0" w:right="210" w:firstLine="426"/>
        <w:spacing w:before="156" w:after="156" w:line="360" w:lineRule="auto"/>
        <w:rPr>
          <w:color w:val="auto"/>
          <w:highlight w:val="none"/>
        </w:rPr>
      </w:pPr>
      <w:r/>
      <w:bookmarkStart w:id="214" w:name="_Toc103848551"/>
      <w:r/>
      <w:bookmarkStart w:id="215" w:name="_Toc157070998"/>
      <w:r/>
      <w:bookmarkStart w:id="216" w:name="_Toc104560866"/>
      <w:r/>
      <w:bookmarkStart w:id="217" w:name="_Toc107246244"/>
      <w:r>
        <w:rPr>
          <w:color w:val="auto"/>
          <w:highlight w:val="none"/>
        </w:rPr>
        <w:t xml:space="preserve">27.诚实信用</w:t>
      </w:r>
      <w:bookmarkEnd w:id="214"/>
      <w:r/>
      <w:bookmarkEnd w:id="215"/>
      <w:r/>
      <w:bookmarkEnd w:id="216"/>
      <w:r/>
      <w:bookmarkEnd w:id="217"/>
      <w:r/>
      <w:r/>
    </w:p>
    <w:p>
      <w:pPr>
        <w:ind w:firstLine="420"/>
        <w:spacing w:before="156" w:line="360" w:lineRule="auto"/>
        <w:rPr>
          <w:bCs/>
          <w:color w:val="auto"/>
          <w:szCs w:val="21"/>
          <w:highlight w:val="none"/>
        </w:rPr>
      </w:pPr>
      <w:r>
        <w:rPr>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before="156" w:line="360" w:lineRule="auto"/>
        <w:rPr>
          <w:bCs/>
          <w:color w:val="auto"/>
          <w:szCs w:val="21"/>
          <w:highlight w:val="none"/>
        </w:rPr>
      </w:pPr>
      <w:r>
        <w:rPr>
          <w:bCs/>
          <w:color w:val="auto"/>
          <w:szCs w:val="21"/>
          <w:highlight w:val="none"/>
        </w:rPr>
        <w:t xml:space="preserve">27.2在评标过程中发现投标人有上述情形的，评标委员会应当认定其投标无效，并书面报告本级财政部门。</w:t>
      </w:r>
      <w:r/>
    </w:p>
    <w:p>
      <w:pPr>
        <w:pStyle w:val="867"/>
        <w:ind w:left="0" w:right="210" w:firstLine="426"/>
        <w:spacing w:before="156" w:after="156" w:line="360" w:lineRule="auto"/>
        <w:rPr>
          <w:color w:val="auto"/>
          <w:highlight w:val="none"/>
        </w:rPr>
      </w:pPr>
      <w:r/>
      <w:bookmarkStart w:id="218" w:name="_Toc107246245"/>
      <w:r/>
      <w:bookmarkStart w:id="219" w:name="_Toc157070999"/>
      <w:r>
        <w:rPr>
          <w:color w:val="auto"/>
          <w:highlight w:val="none"/>
        </w:rPr>
        <w:t xml:space="preserve">五．开标和评标</w:t>
      </w:r>
      <w:bookmarkEnd w:id="218"/>
      <w:r/>
      <w:bookmarkEnd w:id="219"/>
      <w:r/>
      <w:bookmarkStart w:id="220" w:name="_Toc96347885"/>
      <w:r/>
      <w:r/>
    </w:p>
    <w:p>
      <w:pPr>
        <w:pStyle w:val="867"/>
        <w:ind w:left="0" w:right="210" w:firstLine="426"/>
        <w:spacing w:before="156" w:after="156" w:line="360" w:lineRule="auto"/>
        <w:rPr>
          <w:color w:val="auto"/>
          <w:highlight w:val="none"/>
        </w:rPr>
      </w:pPr>
      <w:r/>
      <w:bookmarkStart w:id="221" w:name="_Toc107246246"/>
      <w:r/>
      <w:bookmarkStart w:id="222" w:name="_Toc104560868"/>
      <w:r/>
      <w:bookmarkStart w:id="223" w:name="_Toc100905230"/>
      <w:r/>
      <w:bookmarkStart w:id="224" w:name="_Toc157071000"/>
      <w:r/>
      <w:bookmarkStart w:id="225" w:name="_Toc103848553"/>
      <w:r>
        <w:rPr>
          <w:color w:val="auto"/>
          <w:highlight w:val="none"/>
        </w:rPr>
        <w:t xml:space="preserve">28.开标</w:t>
      </w:r>
      <w:bookmarkEnd w:id="220"/>
      <w:r/>
      <w:bookmarkEnd w:id="221"/>
      <w:r/>
      <w:bookmarkEnd w:id="222"/>
      <w:r/>
      <w:bookmarkEnd w:id="223"/>
      <w:r/>
      <w:bookmarkEnd w:id="224"/>
      <w:r/>
      <w:bookmarkEnd w:id="225"/>
      <w:r/>
      <w:r/>
    </w:p>
    <w:p>
      <w:pPr>
        <w:ind w:firstLine="420"/>
        <w:spacing w:before="156" w:line="360" w:lineRule="auto"/>
        <w:rPr>
          <w:bCs/>
          <w:color w:val="auto"/>
          <w:szCs w:val="21"/>
          <w:highlight w:val="none"/>
        </w:rPr>
      </w:pPr>
      <w:r/>
      <w:bookmarkStart w:id="226" w:name="_Toc96347886"/>
      <w:r>
        <w:rPr>
          <w:bCs/>
          <w:color w:val="auto"/>
          <w:szCs w:val="21"/>
          <w:highlight w:val="none"/>
        </w:rPr>
        <w:t xml:space="preserve">28.1采购方在</w:t>
      </w:r>
      <w:r>
        <w:rPr>
          <w:b/>
          <w:bCs/>
          <w:color w:val="auto"/>
          <w:szCs w:val="21"/>
          <w:highlight w:val="none"/>
        </w:rPr>
        <w:t xml:space="preserve">投标人须知前附表</w:t>
      </w:r>
      <w:r>
        <w:rPr>
          <w:bCs/>
          <w:color w:val="auto"/>
          <w:szCs w:val="21"/>
          <w:highlight w:val="none"/>
        </w:rPr>
        <w:t xml:space="preserve">规定的开标时间和开标地点组织公开开标，邀请投标人参加。</w:t>
      </w:r>
      <w:r/>
    </w:p>
    <w:p>
      <w:pPr>
        <w:ind w:firstLine="420"/>
        <w:spacing w:before="156" w:line="360" w:lineRule="auto"/>
        <w:rPr>
          <w:bCs/>
          <w:color w:val="auto"/>
          <w:szCs w:val="21"/>
          <w:highlight w:val="none"/>
        </w:rPr>
      </w:pPr>
      <w:r>
        <w:rPr>
          <w:bCs/>
          <w:color w:val="auto"/>
          <w:szCs w:val="21"/>
          <w:highlight w:val="none"/>
        </w:rPr>
        <w:t xml:space="preserve">28.2采购方在</w:t>
      </w:r>
      <w:r>
        <w:rPr>
          <w:b/>
          <w:bCs/>
          <w:color w:val="auto"/>
          <w:szCs w:val="21"/>
          <w:highlight w:val="none"/>
        </w:rPr>
        <w:t xml:space="preserve">投标人须知前附表</w:t>
      </w:r>
      <w:r>
        <w:rPr>
          <w:bCs/>
          <w:color w:val="auto"/>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bCs/>
          <w:color w:val="auto"/>
          <w:szCs w:val="21"/>
          <w:highlight w:val="none"/>
        </w:rPr>
      </w:pPr>
      <w:r>
        <w:rPr>
          <w:bCs/>
          <w:color w:val="auto"/>
          <w:szCs w:val="21"/>
          <w:highlight w:val="none"/>
        </w:rPr>
        <w:t xml:space="preserve">28.3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p>
    <w:p>
      <w:pPr>
        <w:ind w:firstLine="420"/>
        <w:spacing w:before="156" w:line="360" w:lineRule="auto"/>
        <w:rPr>
          <w:bCs/>
          <w:color w:val="auto"/>
          <w:szCs w:val="21"/>
          <w:highlight w:val="none"/>
        </w:rPr>
      </w:pPr>
      <w:r>
        <w:rPr>
          <w:bCs/>
          <w:color w:val="auto"/>
          <w:szCs w:val="21"/>
          <w:highlight w:val="none"/>
        </w:rPr>
        <w:t xml:space="preserve">28.4投标人不足3家的，不得开标。</w:t>
      </w:r>
      <w:bookmarkEnd w:id="226"/>
      <w:r/>
      <w:r/>
    </w:p>
    <w:p>
      <w:pPr>
        <w:ind w:firstLine="420"/>
        <w:spacing w:before="156" w:line="360" w:lineRule="auto"/>
        <w:rPr>
          <w:bCs/>
          <w:color w:val="auto"/>
          <w:szCs w:val="21"/>
          <w:highlight w:val="none"/>
        </w:rPr>
      </w:pPr>
      <w:r/>
      <w:bookmarkStart w:id="227" w:name="_Toc100905231"/>
      <w:r>
        <w:rPr>
          <w:bCs/>
          <w:color w:val="auto"/>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bCs/>
          <w:color w:val="auto"/>
          <w:szCs w:val="21"/>
          <w:highlight w:val="none"/>
        </w:rPr>
      </w:pPr>
      <w:r>
        <w:rPr>
          <w:bCs/>
          <w:color w:val="auto"/>
          <w:szCs w:val="21"/>
          <w:highlight w:val="none"/>
        </w:rPr>
        <w:t xml:space="preserve">28.6投标人未参加开标的，视同认可开标结果。</w:t>
      </w:r>
      <w:r/>
    </w:p>
    <w:p>
      <w:pPr>
        <w:pStyle w:val="867"/>
        <w:ind w:left="0" w:right="210" w:firstLine="426"/>
        <w:spacing w:before="156" w:after="156" w:line="360" w:lineRule="auto"/>
        <w:rPr>
          <w:color w:val="auto"/>
          <w:highlight w:val="none"/>
        </w:rPr>
      </w:pPr>
      <w:r/>
      <w:bookmarkStart w:id="228" w:name="_Toc157071001"/>
      <w:r/>
      <w:bookmarkStart w:id="229" w:name="_Toc107246247"/>
      <w:r>
        <w:rPr>
          <w:color w:val="auto"/>
          <w:highlight w:val="none"/>
        </w:rPr>
        <w:t xml:space="preserve">29.资格性审查</w:t>
      </w:r>
      <w:bookmarkEnd w:id="228"/>
      <w:r/>
      <w:bookmarkEnd w:id="229"/>
      <w:r/>
      <w:r/>
    </w:p>
    <w:p>
      <w:pPr>
        <w:ind w:firstLine="420"/>
        <w:spacing w:before="156" w:line="360" w:lineRule="auto"/>
        <w:rPr>
          <w:bCs/>
          <w:color w:val="auto"/>
          <w:szCs w:val="21"/>
          <w:highlight w:val="none"/>
        </w:rPr>
      </w:pPr>
      <w:r/>
      <w:bookmarkStart w:id="230" w:name="_Toc104560869"/>
      <w:r/>
      <w:bookmarkStart w:id="231" w:name="_Toc103848554"/>
      <w:r>
        <w:rPr>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before="156" w:line="360" w:lineRule="auto"/>
        <w:rPr>
          <w:b/>
          <w:bCs/>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29.2</w:t>
      </w:r>
      <w:r>
        <w:rPr>
          <w:b/>
          <w:color w:val="auto"/>
          <w:szCs w:val="21"/>
          <w:highlight w:val="none"/>
        </w:rPr>
        <w:t xml:space="preserve">投标人不具备招标文件规定的投标人资格条件的</w:t>
      </w:r>
      <w:r>
        <w:rPr>
          <w:b/>
          <w:bCs/>
          <w:color w:val="auto"/>
          <w:szCs w:val="21"/>
          <w:highlight w:val="none"/>
        </w:rPr>
        <w:t xml:space="preserve">，应在资格审查时按照无效投标处理。</w:t>
      </w:r>
      <w:r/>
    </w:p>
    <w:p>
      <w:pPr>
        <w:ind w:firstLine="420"/>
        <w:spacing w:before="156" w:line="360" w:lineRule="auto"/>
        <w:rPr>
          <w:bCs/>
          <w:color w:val="auto"/>
          <w:szCs w:val="21"/>
          <w:highlight w:val="none"/>
        </w:rPr>
      </w:pPr>
      <w:r>
        <w:rPr>
          <w:bCs/>
          <w:color w:val="auto"/>
          <w:szCs w:val="21"/>
          <w:highlight w:val="none"/>
        </w:rPr>
        <w:t xml:space="preserve">29.3已经进行资格预审的，可以不再对投标人资格进行审查，资格预审合格的投标人在评标阶段资格发生变化的，应当通知采购方。</w:t>
      </w:r>
      <w:r/>
    </w:p>
    <w:p>
      <w:pPr>
        <w:pStyle w:val="867"/>
        <w:ind w:left="0" w:right="210" w:firstLine="426"/>
        <w:spacing w:before="156" w:after="156" w:line="360" w:lineRule="auto"/>
        <w:rPr>
          <w:color w:val="auto"/>
          <w:highlight w:val="none"/>
        </w:rPr>
      </w:pPr>
      <w:r/>
      <w:bookmarkStart w:id="232" w:name="_Toc157071002"/>
      <w:r/>
      <w:bookmarkStart w:id="233" w:name="_Toc107246248"/>
      <w:r>
        <w:rPr>
          <w:color w:val="auto"/>
          <w:highlight w:val="none"/>
        </w:rPr>
        <w:t xml:space="preserve">30.评标</w:t>
      </w:r>
      <w:bookmarkEnd w:id="230"/>
      <w:r/>
      <w:bookmarkEnd w:id="231"/>
      <w:r/>
      <w:bookmarkEnd w:id="232"/>
      <w:r/>
      <w:bookmarkEnd w:id="233"/>
      <w:r/>
      <w:r/>
    </w:p>
    <w:p>
      <w:pPr>
        <w:pStyle w:val="867"/>
        <w:ind w:left="0" w:right="210" w:firstLine="426"/>
        <w:spacing w:before="156" w:after="156" w:line="360" w:lineRule="auto"/>
        <w:rPr>
          <w:color w:val="auto"/>
          <w:highlight w:val="none"/>
        </w:rPr>
      </w:pPr>
      <w:r/>
      <w:bookmarkStart w:id="234" w:name="_Toc107246249"/>
      <w:r/>
      <w:bookmarkStart w:id="235" w:name="_Toc157071003"/>
      <w:r/>
      <w:bookmarkStart w:id="236" w:name="_Toc103848555"/>
      <w:r/>
      <w:bookmarkStart w:id="237" w:name="_Toc104560870"/>
      <w:r>
        <w:rPr>
          <w:color w:val="auto"/>
          <w:highlight w:val="none"/>
        </w:rPr>
        <w:t xml:space="preserve">30.1评标委员会</w:t>
      </w:r>
      <w:bookmarkEnd w:id="234"/>
      <w:r/>
      <w:bookmarkEnd w:id="235"/>
      <w:r/>
      <w:bookmarkEnd w:id="236"/>
      <w:r/>
      <w:bookmarkEnd w:id="237"/>
      <w:r/>
      <w:r/>
    </w:p>
    <w:p>
      <w:pPr>
        <w:ind w:firstLine="420"/>
        <w:spacing w:before="156" w:line="360" w:lineRule="auto"/>
        <w:rPr>
          <w:bCs/>
          <w:color w:val="auto"/>
          <w:szCs w:val="21"/>
          <w:highlight w:val="none"/>
        </w:rPr>
      </w:pPr>
      <w:r>
        <w:rPr>
          <w:bCs/>
          <w:color w:val="auto"/>
          <w:szCs w:val="21"/>
          <w:highlight w:val="none"/>
        </w:rPr>
        <w:t xml:space="preserve">30.1.1评标委员会成员组成见</w:t>
      </w:r>
      <w:r>
        <w:rPr>
          <w:b/>
          <w:bCs/>
          <w:color w:val="auto"/>
          <w:szCs w:val="21"/>
          <w:highlight w:val="none"/>
        </w:rPr>
        <w:t xml:space="preserve">投标人须知前附表</w:t>
      </w:r>
      <w:r>
        <w:rPr>
          <w:bCs/>
          <w:color w:val="auto"/>
          <w:szCs w:val="21"/>
          <w:highlight w:val="none"/>
        </w:rPr>
        <w:t xml:space="preserve">，负责具体评标事务，并独立履行职责。</w:t>
      </w:r>
      <w:r/>
    </w:p>
    <w:p>
      <w:pPr>
        <w:pStyle w:val="867"/>
        <w:ind w:left="0" w:right="210" w:firstLine="426"/>
        <w:spacing w:before="156" w:after="156" w:line="360" w:lineRule="auto"/>
        <w:rPr>
          <w:color w:val="auto"/>
          <w:highlight w:val="none"/>
        </w:rPr>
      </w:pPr>
      <w:r/>
      <w:bookmarkStart w:id="238" w:name="_Toc104560871"/>
      <w:r/>
      <w:bookmarkStart w:id="239" w:name="_Toc103848556"/>
      <w:r/>
      <w:bookmarkStart w:id="240" w:name="_Toc107246250"/>
      <w:r/>
      <w:bookmarkStart w:id="241" w:name="_Toc157071004"/>
      <w:r>
        <w:rPr>
          <w:color w:val="auto"/>
          <w:highlight w:val="none"/>
        </w:rPr>
        <w:t xml:space="preserve">30.2</w:t>
      </w:r>
      <w:bookmarkEnd w:id="238"/>
      <w:r/>
      <w:bookmarkEnd w:id="239"/>
      <w:r>
        <w:rPr>
          <w:color w:val="auto"/>
          <w:highlight w:val="none"/>
        </w:rPr>
        <w:t xml:space="preserve">符合性审查</w:t>
      </w:r>
      <w:bookmarkEnd w:id="240"/>
      <w:r/>
      <w:bookmarkEnd w:id="241"/>
      <w:r>
        <w:rPr>
          <w:color w:val="auto"/>
          <w:highlight w:val="none"/>
        </w:rPr>
        <w:t xml:space="preserve"> </w:t>
      </w:r>
      <w:r/>
    </w:p>
    <w:p>
      <w:pPr>
        <w:ind w:firstLine="420"/>
        <w:spacing w:before="156" w:line="360" w:lineRule="auto"/>
        <w:rPr>
          <w:bCs/>
          <w:color w:val="auto"/>
          <w:szCs w:val="21"/>
          <w:highlight w:val="none"/>
        </w:rPr>
      </w:pPr>
      <w:r>
        <w:rPr>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b/>
          <w:bCs/>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before="156" w:line="360" w:lineRule="auto"/>
        <w:rPr>
          <w:b/>
          <w:bCs/>
          <w:color w:val="auto"/>
          <w:szCs w:val="21"/>
          <w:highlight w:val="none"/>
        </w:rPr>
      </w:pPr>
      <w:r>
        <w:rPr>
          <w:rFonts w:ascii="Segoe UI Symbol" w:hAnsi="Segoe UI Symbol" w:cs="Segoe UI Symbol"/>
          <w:b/>
          <w:color w:val="auto"/>
          <w:szCs w:val="21"/>
          <w:highlight w:val="none"/>
        </w:rPr>
        <w:t xml:space="preserve">★</w:t>
      </w:r>
      <w:r>
        <w:rPr>
          <w:b/>
          <w:bCs/>
          <w:color w:val="auto"/>
          <w:szCs w:val="21"/>
          <w:highlight w:val="none"/>
        </w:rPr>
        <w:t xml:space="preserve">30.2.3投标文件有下列情况之一的，在符合性检查时按照无效投标处理：</w:t>
      </w:r>
      <w:r/>
    </w:p>
    <w:p>
      <w:pPr>
        <w:ind w:firstLine="315"/>
        <w:jc w:val="left"/>
        <w:spacing w:line="360" w:lineRule="auto"/>
        <w:rPr>
          <w:color w:val="auto"/>
          <w:szCs w:val="21"/>
          <w:highlight w:val="none"/>
        </w:rPr>
      </w:pPr>
      <w:r>
        <w:rPr>
          <w:color w:val="auto"/>
          <w:szCs w:val="21"/>
          <w:highlight w:val="none"/>
        </w:rPr>
        <w:t xml:space="preserve">（1）未按照招标文件规定要求签署、盖章的；</w:t>
      </w:r>
      <w:r/>
    </w:p>
    <w:p>
      <w:pPr>
        <w:ind w:firstLine="315"/>
        <w:jc w:val="left"/>
        <w:spacing w:line="360" w:lineRule="auto"/>
        <w:rPr>
          <w:color w:val="auto"/>
          <w:szCs w:val="21"/>
          <w:highlight w:val="none"/>
        </w:rPr>
      </w:pPr>
      <w:r>
        <w:rPr>
          <w:color w:val="auto"/>
          <w:szCs w:val="21"/>
          <w:highlight w:val="none"/>
        </w:rPr>
        <w:t xml:space="preserve">（2）报价超过招标文件中规定的预算金额或者最高限价的；</w:t>
      </w:r>
      <w:r/>
    </w:p>
    <w:p>
      <w:pPr>
        <w:ind w:firstLine="315"/>
        <w:jc w:val="left"/>
        <w:spacing w:line="360" w:lineRule="auto"/>
        <w:rPr>
          <w:color w:val="auto"/>
          <w:szCs w:val="21"/>
          <w:highlight w:val="none"/>
        </w:rPr>
      </w:pPr>
      <w:r>
        <w:rPr>
          <w:color w:val="auto"/>
          <w:szCs w:val="21"/>
          <w:highlight w:val="none"/>
        </w:rPr>
        <w:t xml:space="preserve">（3）投标文件中承诺的投标有效期不满足招标文件中载明的投标有效期的；</w:t>
      </w:r>
      <w:r/>
    </w:p>
    <w:p>
      <w:pPr>
        <w:ind w:firstLine="315"/>
        <w:jc w:val="left"/>
        <w:spacing w:line="360" w:lineRule="auto"/>
        <w:rPr>
          <w:color w:val="auto"/>
          <w:szCs w:val="21"/>
          <w:highlight w:val="none"/>
        </w:rPr>
      </w:pPr>
      <w:r>
        <w:rPr>
          <w:color w:val="auto"/>
          <w:szCs w:val="21"/>
          <w:highlight w:val="none"/>
        </w:rPr>
        <w:t xml:space="preserve">（4）未按照招标文件规定提交投标保证金的；</w:t>
      </w:r>
      <w:r/>
    </w:p>
    <w:p>
      <w:pPr>
        <w:ind w:firstLine="315"/>
        <w:jc w:val="left"/>
        <w:spacing w:line="360" w:lineRule="auto"/>
        <w:rPr>
          <w:color w:val="auto"/>
          <w:szCs w:val="21"/>
          <w:highlight w:val="none"/>
        </w:rPr>
      </w:pPr>
      <w:r>
        <w:rPr>
          <w:color w:val="auto"/>
          <w:szCs w:val="21"/>
          <w:highlight w:val="none"/>
        </w:rPr>
        <w:t xml:space="preserve">（5）投标文件含有采购人不能接受的附加条件的；</w:t>
      </w:r>
      <w:r/>
    </w:p>
    <w:p>
      <w:pPr>
        <w:ind w:firstLine="315"/>
        <w:jc w:val="left"/>
        <w:spacing w:line="360" w:lineRule="auto"/>
        <w:rPr>
          <w:color w:val="auto"/>
          <w:szCs w:val="21"/>
          <w:highlight w:val="none"/>
        </w:rPr>
      </w:pPr>
      <w:r>
        <w:rPr>
          <w:color w:val="auto"/>
          <w:szCs w:val="21"/>
          <w:highlight w:val="none"/>
        </w:rPr>
        <w:t xml:space="preserve">（6）投标文件不符合招标文件中规定的其它实质性要求的；</w:t>
      </w:r>
      <w:r/>
    </w:p>
    <w:p>
      <w:pPr>
        <w:ind w:firstLine="315"/>
        <w:jc w:val="left"/>
        <w:spacing w:line="360" w:lineRule="auto"/>
        <w:rPr>
          <w:color w:val="auto"/>
          <w:szCs w:val="21"/>
          <w:highlight w:val="none"/>
        </w:rPr>
      </w:pPr>
      <w:r>
        <w:rPr>
          <w:color w:val="auto"/>
          <w:szCs w:val="21"/>
          <w:highlight w:val="none"/>
        </w:rPr>
        <w:t xml:space="preserve">（7）现行法律、法规、规章和招标文件规定的其他无效情形。</w:t>
      </w:r>
      <w:bookmarkEnd w:id="227"/>
      <w:r/>
      <w:r/>
    </w:p>
    <w:p>
      <w:pPr>
        <w:pStyle w:val="867"/>
        <w:ind w:left="0" w:right="210" w:firstLine="426"/>
        <w:spacing w:before="156" w:after="156" w:line="360" w:lineRule="auto"/>
        <w:rPr>
          <w:color w:val="auto"/>
          <w:highlight w:val="none"/>
        </w:rPr>
      </w:pPr>
      <w:r/>
      <w:bookmarkStart w:id="242" w:name="_Toc157071005"/>
      <w:r/>
      <w:bookmarkStart w:id="243" w:name="_Toc104560872"/>
      <w:r/>
      <w:bookmarkStart w:id="244" w:name="_Toc107246251"/>
      <w:r/>
      <w:bookmarkStart w:id="245" w:name="_Toc103848557"/>
      <w:r>
        <w:rPr>
          <w:color w:val="auto"/>
          <w:highlight w:val="none"/>
        </w:rPr>
        <w:t xml:space="preserve">30.3投标文件澄清</w:t>
      </w:r>
      <w:bookmarkEnd w:id="242"/>
      <w:r/>
      <w:bookmarkEnd w:id="243"/>
      <w:r/>
      <w:bookmarkEnd w:id="244"/>
      <w:r/>
      <w:bookmarkEnd w:id="245"/>
      <w:r/>
      <w:r/>
    </w:p>
    <w:p>
      <w:pPr>
        <w:ind w:firstLine="420"/>
        <w:jc w:val="left"/>
        <w:spacing w:line="360" w:lineRule="auto"/>
        <w:rPr>
          <w:color w:val="auto"/>
          <w:szCs w:val="21"/>
          <w:highlight w:val="none"/>
        </w:rPr>
      </w:pPr>
      <w:r>
        <w:rPr>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color w:val="auto"/>
          <w:szCs w:val="21"/>
          <w:highlight w:val="none"/>
        </w:rPr>
      </w:pPr>
      <w:r>
        <w:rPr>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color w:val="auto"/>
          <w:szCs w:val="21"/>
          <w:highlight w:val="none"/>
        </w:rPr>
      </w:pPr>
      <w:r>
        <w:rPr>
          <w:color w:val="auto"/>
          <w:szCs w:val="21"/>
          <w:highlight w:val="none"/>
        </w:rPr>
        <w:t xml:space="preserve">30.3.3评标委员会不接受投标人主动提出的澄清、说明。</w:t>
      </w:r>
      <w:r/>
    </w:p>
    <w:p>
      <w:pPr>
        <w:ind w:firstLine="420"/>
        <w:jc w:val="left"/>
        <w:spacing w:line="360" w:lineRule="auto"/>
        <w:rPr>
          <w:color w:val="auto"/>
          <w:szCs w:val="21"/>
          <w:highlight w:val="none"/>
        </w:rPr>
      </w:pPr>
      <w:r>
        <w:rPr>
          <w:color w:val="auto"/>
          <w:szCs w:val="21"/>
          <w:highlight w:val="none"/>
        </w:rPr>
        <w:t xml:space="preserve">30.3.4有效的书面澄清材料，是投标文件的补充材料，成为投标文件的组成部分。</w:t>
      </w:r>
      <w:r/>
    </w:p>
    <w:p>
      <w:pPr>
        <w:pStyle w:val="867"/>
        <w:ind w:left="0" w:right="210" w:firstLine="426"/>
        <w:spacing w:before="156" w:after="156" w:line="360" w:lineRule="auto"/>
        <w:rPr>
          <w:color w:val="auto"/>
          <w:highlight w:val="none"/>
        </w:rPr>
      </w:pPr>
      <w:r/>
      <w:bookmarkStart w:id="246" w:name="_Toc107246252"/>
      <w:r/>
      <w:bookmarkStart w:id="247" w:name="_Toc157071006"/>
      <w:r>
        <w:rPr>
          <w:color w:val="auto"/>
          <w:highlight w:val="none"/>
        </w:rPr>
        <w:t xml:space="preserve">30.4</w:t>
      </w:r>
      <w:bookmarkEnd w:id="246"/>
      <w:r>
        <w:rPr>
          <w:color w:val="auto"/>
          <w:highlight w:val="none"/>
        </w:rPr>
        <w:t xml:space="preserve">报价修正</w:t>
      </w:r>
      <w:bookmarkEnd w:id="247"/>
      <w:r/>
      <w:r/>
    </w:p>
    <w:p>
      <w:pPr>
        <w:ind w:firstLine="420"/>
        <w:jc w:val="left"/>
        <w:spacing w:line="360" w:lineRule="auto"/>
        <w:rPr>
          <w:color w:val="auto"/>
          <w:szCs w:val="21"/>
          <w:highlight w:val="none"/>
        </w:rPr>
      </w:pPr>
      <w:r>
        <w:rPr>
          <w:color w:val="auto"/>
          <w:szCs w:val="21"/>
          <w:highlight w:val="none"/>
        </w:rPr>
        <w:t xml:space="preserve">30.4.1投标文件报价出现前后不一致的，除招标文件另有规定外，按照下列规定修正：</w:t>
      </w:r>
      <w:r/>
    </w:p>
    <w:p>
      <w:pPr>
        <w:ind w:firstLine="315"/>
        <w:jc w:val="left"/>
        <w:spacing w:line="360" w:lineRule="auto"/>
        <w:rPr>
          <w:color w:val="auto"/>
          <w:szCs w:val="21"/>
          <w:highlight w:val="none"/>
        </w:rPr>
      </w:pPr>
      <w:r>
        <w:rPr>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color w:val="auto"/>
          <w:szCs w:val="21"/>
          <w:highlight w:val="none"/>
        </w:rPr>
      </w:pPr>
      <w:r>
        <w:rPr>
          <w:color w:val="auto"/>
          <w:szCs w:val="21"/>
          <w:highlight w:val="none"/>
        </w:rPr>
        <w:t xml:space="preserve">（2）大写金额和小写金额不一致的，以大写金额为准；</w:t>
      </w:r>
      <w:r/>
    </w:p>
    <w:p>
      <w:pPr>
        <w:ind w:firstLine="315"/>
        <w:jc w:val="left"/>
        <w:spacing w:line="360" w:lineRule="auto"/>
        <w:rPr>
          <w:color w:val="auto"/>
          <w:szCs w:val="21"/>
          <w:highlight w:val="none"/>
        </w:rPr>
      </w:pPr>
      <w:r>
        <w:rPr>
          <w:color w:val="auto"/>
          <w:szCs w:val="21"/>
          <w:highlight w:val="none"/>
        </w:rPr>
        <w:t xml:space="preserve">（3）单价金额小数点或者百分比有明显错位的，以开标一览表的总价为准，并修改单价；</w:t>
      </w:r>
      <w:r/>
    </w:p>
    <w:p>
      <w:pPr>
        <w:ind w:firstLine="315"/>
        <w:jc w:val="left"/>
        <w:spacing w:line="360" w:lineRule="auto"/>
        <w:rPr>
          <w:color w:val="auto"/>
          <w:szCs w:val="21"/>
          <w:highlight w:val="none"/>
        </w:rPr>
      </w:pPr>
      <w:r>
        <w:rPr>
          <w:color w:val="auto"/>
          <w:szCs w:val="21"/>
          <w:highlight w:val="none"/>
        </w:rPr>
        <w:t xml:space="preserve">（4）总价金额与按单价汇总金额不一致的，以单价金额计算结果为准。</w:t>
      </w:r>
      <w:r/>
    </w:p>
    <w:p>
      <w:pPr>
        <w:ind w:firstLine="420"/>
        <w:jc w:val="left"/>
        <w:spacing w:line="360" w:lineRule="auto"/>
        <w:rPr>
          <w:color w:val="auto"/>
          <w:szCs w:val="21"/>
          <w:highlight w:val="none"/>
        </w:rPr>
      </w:pPr>
      <w:r>
        <w:rPr>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867"/>
        <w:ind w:left="0" w:right="210" w:firstLine="426"/>
        <w:spacing w:before="156" w:after="156" w:line="360" w:lineRule="auto"/>
        <w:rPr>
          <w:color w:val="auto"/>
          <w:highlight w:val="none"/>
        </w:rPr>
      </w:pPr>
      <w:r/>
      <w:bookmarkStart w:id="248" w:name="_Toc107246253"/>
      <w:r/>
      <w:bookmarkStart w:id="249" w:name="_Toc157071007"/>
      <w:r/>
      <w:bookmarkStart w:id="250" w:name="_Toc104560873"/>
      <w:r/>
      <w:bookmarkStart w:id="251" w:name="_Toc103848558"/>
      <w:r>
        <w:rPr>
          <w:color w:val="auto"/>
          <w:highlight w:val="none"/>
        </w:rPr>
        <w:t xml:space="preserve">30.5同品牌多家投标人处理原则</w:t>
      </w:r>
      <w:bookmarkEnd w:id="248"/>
      <w:r/>
      <w:bookmarkEnd w:id="249"/>
      <w:r/>
      <w:bookmarkEnd w:id="250"/>
      <w:r/>
      <w:bookmarkEnd w:id="251"/>
      <w:r/>
      <w:r/>
    </w:p>
    <w:p>
      <w:pPr>
        <w:ind w:firstLine="420"/>
        <w:jc w:val="left"/>
        <w:spacing w:line="360" w:lineRule="auto"/>
        <w:rPr>
          <w:color w:val="auto"/>
          <w:szCs w:val="21"/>
          <w:highlight w:val="none"/>
        </w:rPr>
      </w:pPr>
      <w:r>
        <w:rPr>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color w:val="auto"/>
          <w:szCs w:val="21"/>
          <w:highlight w:val="none"/>
        </w:rPr>
      </w:pPr>
      <w:r>
        <w:rPr>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color w:val="auto"/>
          <w:szCs w:val="21"/>
          <w:highlight w:val="none"/>
        </w:rPr>
      </w:pPr>
      <w:r>
        <w:rPr>
          <w:color w:val="auto"/>
          <w:szCs w:val="21"/>
          <w:highlight w:val="none"/>
        </w:rPr>
        <w:t xml:space="preserve">30.5.3非单一产品采购项目，根据采购项目技术构成、产品价格比重等合理确定核心产品，核心产品见</w:t>
      </w:r>
      <w:r>
        <w:rPr>
          <w:b/>
          <w:color w:val="auto"/>
          <w:szCs w:val="21"/>
          <w:highlight w:val="none"/>
        </w:rPr>
        <w:t xml:space="preserve">投标人须知前附表</w:t>
      </w:r>
      <w:r>
        <w:rPr>
          <w:color w:val="auto"/>
          <w:szCs w:val="21"/>
          <w:highlight w:val="none"/>
        </w:rPr>
        <w:t xml:space="preserve">。多家投标人提供的核心产品品牌相同的，按前两款规定处理。</w:t>
      </w:r>
      <w:r/>
    </w:p>
    <w:p>
      <w:pPr>
        <w:pStyle w:val="867"/>
        <w:ind w:left="0" w:right="210" w:firstLine="426"/>
        <w:spacing w:before="156" w:after="156" w:line="360" w:lineRule="auto"/>
        <w:rPr>
          <w:color w:val="auto"/>
          <w:highlight w:val="none"/>
        </w:rPr>
      </w:pPr>
      <w:r/>
      <w:bookmarkStart w:id="252" w:name="_Toc104560874"/>
      <w:r/>
      <w:bookmarkStart w:id="253" w:name="_Toc157071008"/>
      <w:r/>
      <w:bookmarkStart w:id="254" w:name="_Toc107246254"/>
      <w:r/>
      <w:bookmarkStart w:id="255" w:name="_Toc103848559"/>
      <w:r>
        <w:rPr>
          <w:color w:val="auto"/>
          <w:highlight w:val="none"/>
        </w:rPr>
        <w:t xml:space="preserve">30.6比较与评价</w:t>
      </w:r>
      <w:bookmarkEnd w:id="252"/>
      <w:r/>
      <w:bookmarkEnd w:id="253"/>
      <w:r/>
      <w:bookmarkEnd w:id="254"/>
      <w:r/>
      <w:bookmarkEnd w:id="255"/>
      <w:r/>
      <w:r/>
    </w:p>
    <w:p>
      <w:pPr>
        <w:ind w:firstLine="420"/>
        <w:jc w:val="left"/>
        <w:spacing w:line="360" w:lineRule="auto"/>
        <w:rPr>
          <w:color w:val="auto"/>
          <w:szCs w:val="21"/>
          <w:highlight w:val="none"/>
        </w:rPr>
      </w:pPr>
      <w:r>
        <w:rPr>
          <w:color w:val="auto"/>
          <w:szCs w:val="21"/>
          <w:highlight w:val="none"/>
        </w:rPr>
        <w:t xml:space="preserve">30.6.1评标委员会应当按照招标文件中第五章《评标方法和评标标准》，对符合性审查合格的投标文件进行比较与评价。</w:t>
      </w:r>
      <w:r/>
    </w:p>
    <w:p>
      <w:pPr>
        <w:pStyle w:val="867"/>
        <w:ind w:left="0" w:right="210" w:firstLine="426"/>
        <w:spacing w:before="156" w:after="156" w:line="360" w:lineRule="auto"/>
        <w:rPr>
          <w:color w:val="auto"/>
          <w:highlight w:val="none"/>
        </w:rPr>
      </w:pPr>
      <w:r/>
      <w:bookmarkStart w:id="256" w:name="_Toc157071009"/>
      <w:r/>
      <w:bookmarkStart w:id="257" w:name="_Toc107246255"/>
      <w:r>
        <w:rPr>
          <w:color w:val="auto"/>
          <w:highlight w:val="none"/>
        </w:rPr>
        <w:t xml:space="preserve">30.7编写评标报告</w:t>
      </w:r>
      <w:bookmarkEnd w:id="256"/>
      <w:r/>
      <w:bookmarkEnd w:id="257"/>
      <w:r/>
      <w:r/>
    </w:p>
    <w:p>
      <w:pPr>
        <w:ind w:firstLine="420"/>
        <w:jc w:val="left"/>
        <w:spacing w:line="360" w:lineRule="auto"/>
        <w:rPr>
          <w:color w:val="auto"/>
          <w:szCs w:val="21"/>
          <w:highlight w:val="none"/>
        </w:rPr>
      </w:pPr>
      <w:r>
        <w:rPr>
          <w:color w:val="auto"/>
          <w:szCs w:val="21"/>
          <w:highlight w:val="none"/>
        </w:rPr>
        <w:t xml:space="preserve">30.7.1评标委员会根据全体评标成员签字的原始评标记录和评标结果编写评标报告。</w:t>
      </w:r>
      <w:r/>
    </w:p>
    <w:p>
      <w:pPr>
        <w:pStyle w:val="867"/>
        <w:ind w:left="0" w:right="210" w:firstLine="426"/>
        <w:spacing w:before="156" w:after="156" w:line="360" w:lineRule="auto"/>
        <w:tabs>
          <w:tab w:val="left" w:pos="5882" w:leader="none"/>
        </w:tabs>
        <w:rPr>
          <w:color w:val="auto"/>
          <w:highlight w:val="none"/>
        </w:rPr>
      </w:pPr>
      <w:r/>
      <w:bookmarkStart w:id="258" w:name="_Toc107246256"/>
      <w:r/>
      <w:bookmarkStart w:id="259" w:name="_Toc104560876"/>
      <w:r/>
      <w:bookmarkStart w:id="260" w:name="_Toc103848561"/>
      <w:r/>
      <w:bookmarkStart w:id="261" w:name="_Toc157071010"/>
      <w:r>
        <w:rPr>
          <w:color w:val="auto"/>
          <w:highlight w:val="none"/>
        </w:rPr>
        <w:t xml:space="preserve">30.8评标过程的保密</w:t>
      </w:r>
      <w:bookmarkEnd w:id="258"/>
      <w:r/>
      <w:bookmarkEnd w:id="259"/>
      <w:r/>
      <w:bookmarkEnd w:id="260"/>
      <w:r/>
      <w:bookmarkEnd w:id="261"/>
      <w:r>
        <w:rPr>
          <w:color w:val="auto"/>
          <w:highlight w:val="none"/>
        </w:rPr>
        <w:tab/>
      </w:r>
      <w:r/>
    </w:p>
    <w:p>
      <w:pPr>
        <w:ind w:firstLine="315"/>
        <w:jc w:val="left"/>
        <w:spacing w:line="360" w:lineRule="auto"/>
        <w:rPr>
          <w:color w:val="auto"/>
          <w:szCs w:val="21"/>
          <w:highlight w:val="none"/>
        </w:rPr>
      </w:pPr>
      <w:r>
        <w:rPr>
          <w:color w:val="auto"/>
          <w:szCs w:val="21"/>
          <w:highlight w:val="none"/>
        </w:rPr>
        <w:t xml:space="preserve">30.8.1评标委员会成员名单在评标结果公示前应当保密。</w:t>
      </w:r>
      <w:r/>
    </w:p>
    <w:p>
      <w:pPr>
        <w:ind w:firstLine="315"/>
        <w:jc w:val="left"/>
        <w:spacing w:line="360" w:lineRule="auto"/>
        <w:rPr>
          <w:color w:val="auto"/>
          <w:szCs w:val="21"/>
          <w:highlight w:val="none"/>
        </w:rPr>
      </w:pPr>
      <w:r>
        <w:rPr>
          <w:color w:val="auto"/>
          <w:szCs w:val="21"/>
          <w:highlight w:val="none"/>
        </w:rPr>
        <w:t xml:space="preserve">30.8.2采购方应当采取必要的措施，保证评标在严格保密的情况下进行。</w:t>
      </w:r>
      <w:r/>
    </w:p>
    <w:p>
      <w:pPr>
        <w:ind w:firstLine="315"/>
        <w:jc w:val="left"/>
        <w:spacing w:line="360" w:lineRule="auto"/>
        <w:rPr>
          <w:color w:val="auto"/>
          <w:szCs w:val="21"/>
          <w:highlight w:val="none"/>
        </w:rPr>
      </w:pPr>
      <w:r>
        <w:rPr>
          <w:color w:val="auto"/>
          <w:szCs w:val="21"/>
          <w:highlight w:val="none"/>
        </w:rPr>
        <w:t xml:space="preserve">30.8.3有关人员对评标情况以及在评标过程中获悉的国家秘密、商业秘密负有保密责任。</w:t>
      </w:r>
      <w:r/>
    </w:p>
    <w:p>
      <w:pPr>
        <w:pStyle w:val="867"/>
        <w:ind w:left="0" w:right="210" w:firstLine="426"/>
        <w:spacing w:before="156" w:after="156" w:line="360" w:lineRule="auto"/>
        <w:rPr>
          <w:color w:val="auto"/>
          <w:highlight w:val="none"/>
        </w:rPr>
      </w:pPr>
      <w:r/>
      <w:bookmarkStart w:id="262" w:name="_Toc157071011"/>
      <w:r/>
      <w:bookmarkStart w:id="263" w:name="_Toc107246257"/>
      <w:r>
        <w:rPr>
          <w:color w:val="auto"/>
          <w:highlight w:val="none"/>
        </w:rPr>
        <w:t xml:space="preserve">六．确定中标</w:t>
      </w:r>
      <w:bookmarkEnd w:id="262"/>
      <w:r/>
      <w:bookmarkEnd w:id="263"/>
      <w:r/>
      <w:r/>
    </w:p>
    <w:p>
      <w:pPr>
        <w:pStyle w:val="867"/>
        <w:ind w:left="0" w:right="210" w:firstLine="426"/>
        <w:spacing w:before="156" w:after="156" w:line="360" w:lineRule="auto"/>
        <w:rPr>
          <w:color w:val="auto"/>
          <w:highlight w:val="none"/>
        </w:rPr>
      </w:pPr>
      <w:r/>
      <w:bookmarkStart w:id="264" w:name="_Toc104560878"/>
      <w:r/>
      <w:bookmarkStart w:id="265" w:name="_Toc103848563"/>
      <w:r/>
      <w:bookmarkStart w:id="266" w:name="_Toc157071012"/>
      <w:r/>
      <w:bookmarkStart w:id="267" w:name="_Toc107246258"/>
      <w:r>
        <w:rPr>
          <w:color w:val="auto"/>
          <w:highlight w:val="none"/>
        </w:rPr>
        <w:t xml:space="preserve">31.确定中标</w:t>
      </w:r>
      <w:bookmarkEnd w:id="264"/>
      <w:r/>
      <w:bookmarkEnd w:id="265"/>
      <w:r>
        <w:rPr>
          <w:color w:val="auto"/>
          <w:highlight w:val="none"/>
        </w:rPr>
        <w:t xml:space="preserve">人</w:t>
      </w:r>
      <w:bookmarkEnd w:id="266"/>
      <w:r/>
      <w:bookmarkEnd w:id="267"/>
      <w:r/>
      <w:r/>
    </w:p>
    <w:p>
      <w:pPr>
        <w:ind w:firstLine="420"/>
        <w:jc w:val="left"/>
        <w:spacing w:line="360" w:lineRule="auto"/>
        <w:rPr>
          <w:color w:val="auto"/>
          <w:szCs w:val="21"/>
          <w:highlight w:val="none"/>
        </w:rPr>
      </w:pPr>
      <w:r>
        <w:rPr>
          <w:color w:val="auto"/>
          <w:szCs w:val="21"/>
          <w:highlight w:val="none"/>
        </w:rPr>
        <w:t xml:space="preserve">31.1评委会根据本采购文件规定评分办法与评分标准综合打分，并按综合得分由高到低顺序向项目采购人推荐排名第一的候选中标人为中标人。</w:t>
      </w:r>
      <w:r/>
    </w:p>
    <w:p>
      <w:pPr>
        <w:ind w:firstLine="420"/>
        <w:jc w:val="left"/>
        <w:spacing w:line="360" w:lineRule="auto"/>
        <w:rPr>
          <w:color w:val="auto"/>
          <w:szCs w:val="21"/>
          <w:highlight w:val="none"/>
        </w:rPr>
      </w:pPr>
      <w:r>
        <w:rPr>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color w:val="auto"/>
          <w:szCs w:val="21"/>
          <w:highlight w:val="none"/>
        </w:rPr>
      </w:pPr>
      <w:r>
        <w:rPr>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line="360" w:lineRule="auto"/>
        <w:rPr>
          <w:color w:val="auto"/>
          <w:szCs w:val="21"/>
          <w:highlight w:val="none"/>
        </w:rPr>
      </w:pPr>
      <w:r>
        <w:rPr>
          <w:color w:val="auto"/>
          <w:szCs w:val="21"/>
          <w:highlight w:val="none"/>
        </w:rPr>
        <w:t xml:space="preserve">31.4评审结束后，中标人名单将省级以上财政部门指定的媒体上公告中标结果，中标公告期为1个工作日，公告媒体见</w:t>
      </w:r>
      <w:r>
        <w:rPr>
          <w:b/>
          <w:color w:val="auto"/>
          <w:szCs w:val="21"/>
          <w:highlight w:val="none"/>
        </w:rPr>
        <w:t xml:space="preserve">投标人须知前附表。</w:t>
      </w:r>
      <w:r/>
    </w:p>
    <w:p>
      <w:pPr>
        <w:pStyle w:val="867"/>
        <w:ind w:left="0" w:right="210" w:firstLine="426"/>
        <w:spacing w:before="156" w:after="156" w:line="360" w:lineRule="auto"/>
        <w:rPr>
          <w:color w:val="auto"/>
          <w:highlight w:val="none"/>
        </w:rPr>
      </w:pPr>
      <w:r/>
      <w:bookmarkStart w:id="268" w:name="_Toc104560879"/>
      <w:r/>
      <w:bookmarkStart w:id="269" w:name="_Toc107246259"/>
      <w:r/>
      <w:bookmarkStart w:id="270" w:name="_Toc103848564"/>
      <w:r/>
      <w:bookmarkStart w:id="271" w:name="_Toc157071013"/>
      <w:r>
        <w:rPr>
          <w:color w:val="auto"/>
          <w:highlight w:val="none"/>
        </w:rPr>
        <w:t xml:space="preserve">32.中标通知书</w:t>
      </w:r>
      <w:bookmarkEnd w:id="268"/>
      <w:r/>
      <w:bookmarkEnd w:id="269"/>
      <w:r/>
      <w:bookmarkEnd w:id="270"/>
      <w:r/>
      <w:bookmarkEnd w:id="271"/>
      <w:r/>
      <w:r/>
    </w:p>
    <w:p>
      <w:pPr>
        <w:ind w:firstLine="420"/>
        <w:jc w:val="left"/>
        <w:spacing w:line="360" w:lineRule="auto"/>
        <w:rPr>
          <w:color w:val="auto"/>
          <w:szCs w:val="21"/>
          <w:highlight w:val="none"/>
        </w:rPr>
      </w:pPr>
      <w:r>
        <w:rPr>
          <w:color w:val="auto"/>
          <w:szCs w:val="21"/>
          <w:highlight w:val="none"/>
        </w:rPr>
        <w:t xml:space="preserve">32.1采购代理机构将在中标公告发布的同时向中标人发出中标通知书。</w:t>
      </w:r>
      <w:r/>
    </w:p>
    <w:p>
      <w:pPr>
        <w:ind w:firstLine="420"/>
        <w:jc w:val="left"/>
        <w:spacing w:line="360" w:lineRule="auto"/>
        <w:rPr>
          <w:color w:val="auto"/>
          <w:szCs w:val="21"/>
          <w:highlight w:val="none"/>
        </w:rPr>
      </w:pPr>
      <w:r>
        <w:rPr>
          <w:color w:val="auto"/>
          <w:szCs w:val="21"/>
          <w:highlight w:val="none"/>
        </w:rPr>
        <w:t xml:space="preserve">32.2中标通知书将是合同的组成部分。对采购人和中标人均具有法律效力。</w:t>
      </w:r>
      <w:r/>
    </w:p>
    <w:p>
      <w:pPr>
        <w:ind w:firstLine="420"/>
        <w:jc w:val="left"/>
        <w:spacing w:line="360" w:lineRule="auto"/>
        <w:rPr>
          <w:color w:val="auto"/>
          <w:szCs w:val="21"/>
          <w:highlight w:val="none"/>
        </w:rPr>
      </w:pPr>
      <w:r>
        <w:rPr>
          <w:color w:val="auto"/>
          <w:szCs w:val="21"/>
          <w:highlight w:val="none"/>
        </w:rPr>
        <w:t xml:space="preserve">32.3</w:t>
      </w:r>
      <w:bookmarkStart w:id="272" w:name="_Toc103848560"/>
      <w:r/>
      <w:bookmarkStart w:id="273" w:name="_Toc104560875"/>
      <w:r>
        <w:rPr>
          <w:color w:val="auto"/>
          <w:szCs w:val="21"/>
          <w:highlight w:val="none"/>
        </w:rPr>
        <w:t xml:space="preserve">中标通知书发出后，中标人无正当理由不得放弃中标，否则将依法承担法律责任。</w:t>
      </w:r>
      <w:r/>
    </w:p>
    <w:p>
      <w:pPr>
        <w:pStyle w:val="867"/>
        <w:ind w:left="0" w:right="210" w:firstLine="426"/>
        <w:spacing w:before="156" w:after="156" w:line="360" w:lineRule="auto"/>
        <w:rPr>
          <w:color w:val="auto"/>
          <w:highlight w:val="none"/>
        </w:rPr>
      </w:pPr>
      <w:r/>
      <w:bookmarkStart w:id="274" w:name="_Toc107246260"/>
      <w:r/>
      <w:bookmarkStart w:id="275" w:name="_Toc157071014"/>
      <w:r>
        <w:rPr>
          <w:color w:val="auto"/>
          <w:highlight w:val="none"/>
        </w:rPr>
        <w:t xml:space="preserve">33.废标</w:t>
      </w:r>
      <w:bookmarkEnd w:id="272"/>
      <w:r/>
      <w:bookmarkEnd w:id="273"/>
      <w:r/>
      <w:bookmarkEnd w:id="274"/>
      <w:r/>
      <w:bookmarkEnd w:id="275"/>
      <w:r/>
      <w:r/>
    </w:p>
    <w:p>
      <w:pPr>
        <w:ind w:firstLine="316"/>
        <w:jc w:val="left"/>
        <w:spacing w:line="360" w:lineRule="auto"/>
        <w:rPr>
          <w:b/>
          <w:color w:val="auto"/>
          <w:szCs w:val="21"/>
          <w:highlight w:val="none"/>
        </w:rPr>
      </w:pPr>
      <w:r>
        <w:rPr>
          <w:rFonts w:ascii="Segoe UI Symbol" w:hAnsi="Segoe UI Symbol" w:cs="Segoe UI Symbol"/>
          <w:b/>
          <w:color w:val="auto"/>
          <w:szCs w:val="21"/>
          <w:highlight w:val="none"/>
        </w:rPr>
        <w:t xml:space="preserve">★</w:t>
      </w:r>
      <w:r>
        <w:rPr>
          <w:b/>
          <w:color w:val="auto"/>
          <w:szCs w:val="21"/>
          <w:highlight w:val="none"/>
        </w:rPr>
        <w:t xml:space="preserve">33.1出现下列情形之一的，应予废标：</w:t>
      </w:r>
      <w:r/>
    </w:p>
    <w:p>
      <w:pPr>
        <w:ind w:firstLine="315"/>
        <w:jc w:val="left"/>
        <w:spacing w:line="360" w:lineRule="auto"/>
        <w:rPr>
          <w:bCs/>
          <w:color w:val="auto"/>
          <w:szCs w:val="21"/>
          <w:highlight w:val="none"/>
        </w:rPr>
      </w:pPr>
      <w:r>
        <w:rPr>
          <w:bCs/>
          <w:color w:val="auto"/>
          <w:szCs w:val="21"/>
          <w:highlight w:val="none"/>
        </w:rPr>
        <w:t xml:space="preserve">（1）符合专业条件的投标人或者对招标文件作实质响应的投标人不足三家的；</w:t>
      </w:r>
      <w:r/>
    </w:p>
    <w:p>
      <w:pPr>
        <w:ind w:firstLine="315"/>
        <w:jc w:val="left"/>
        <w:spacing w:line="360" w:lineRule="auto"/>
        <w:rPr>
          <w:bCs/>
          <w:color w:val="auto"/>
          <w:szCs w:val="21"/>
          <w:highlight w:val="none"/>
        </w:rPr>
      </w:pPr>
      <w:r>
        <w:rPr>
          <w:bCs/>
          <w:color w:val="auto"/>
          <w:szCs w:val="21"/>
          <w:highlight w:val="none"/>
        </w:rPr>
        <w:t xml:space="preserve">（2）出现影响采购公正的违法、违规行为的；</w:t>
      </w:r>
      <w:r/>
    </w:p>
    <w:p>
      <w:pPr>
        <w:ind w:firstLine="315"/>
        <w:jc w:val="left"/>
        <w:spacing w:line="360" w:lineRule="auto"/>
        <w:rPr>
          <w:bCs/>
          <w:color w:val="auto"/>
          <w:szCs w:val="21"/>
          <w:highlight w:val="none"/>
        </w:rPr>
      </w:pPr>
      <w:r>
        <w:rPr>
          <w:bCs/>
          <w:color w:val="auto"/>
          <w:szCs w:val="21"/>
          <w:highlight w:val="none"/>
        </w:rPr>
        <w:t xml:space="preserve">（3）投标人的报价均超过了采购预算，采购人不能支付的；</w:t>
      </w:r>
      <w:r/>
    </w:p>
    <w:p>
      <w:pPr>
        <w:ind w:firstLine="315"/>
        <w:jc w:val="left"/>
        <w:spacing w:line="360" w:lineRule="auto"/>
        <w:rPr>
          <w:bCs/>
          <w:color w:val="auto"/>
          <w:szCs w:val="21"/>
          <w:highlight w:val="none"/>
        </w:rPr>
      </w:pPr>
      <w:r>
        <w:rPr>
          <w:bCs/>
          <w:color w:val="auto"/>
          <w:szCs w:val="21"/>
          <w:highlight w:val="none"/>
        </w:rPr>
        <w:t xml:space="preserve">（4）因重大变故，采购任务取消的。</w:t>
      </w:r>
      <w:r/>
    </w:p>
    <w:p>
      <w:pPr>
        <w:ind w:firstLine="315"/>
        <w:jc w:val="left"/>
        <w:spacing w:line="360" w:lineRule="auto"/>
        <w:rPr>
          <w:color w:val="auto"/>
          <w:szCs w:val="21"/>
          <w:highlight w:val="none"/>
        </w:rPr>
      </w:pPr>
      <w:r>
        <w:rPr>
          <w:color w:val="auto"/>
          <w:szCs w:val="21"/>
          <w:highlight w:val="none"/>
        </w:rPr>
        <w:t xml:space="preserve">33.2废标后，采购人将废标理由通知所有投标人。</w:t>
      </w:r>
      <w:r/>
    </w:p>
    <w:p>
      <w:pPr>
        <w:pStyle w:val="867"/>
        <w:ind w:left="0" w:right="210" w:firstLine="426"/>
        <w:spacing w:before="156" w:after="156" w:line="360" w:lineRule="auto"/>
        <w:rPr>
          <w:color w:val="auto"/>
          <w:highlight w:val="none"/>
        </w:rPr>
      </w:pPr>
      <w:r/>
      <w:bookmarkStart w:id="276" w:name="_Toc107246261"/>
      <w:r/>
      <w:bookmarkStart w:id="277" w:name="_Toc157071015"/>
      <w:r/>
      <w:bookmarkStart w:id="278" w:name="_Toc103848565"/>
      <w:r/>
      <w:bookmarkStart w:id="279" w:name="_Toc104560880"/>
      <w:r/>
      <w:bookmarkStart w:id="280" w:name="_Toc513029237"/>
      <w:r/>
      <w:bookmarkStart w:id="281" w:name="_Toc16938553"/>
      <w:r/>
      <w:bookmarkStart w:id="282" w:name="_Toc20823309"/>
      <w:r>
        <w:rPr>
          <w:color w:val="auto"/>
          <w:highlight w:val="none"/>
        </w:rPr>
        <w:t xml:space="preserve">34.签订合同</w:t>
      </w:r>
      <w:bookmarkEnd w:id="276"/>
      <w:r/>
      <w:bookmarkEnd w:id="277"/>
      <w:r/>
      <w:bookmarkEnd w:id="278"/>
      <w:r/>
      <w:bookmarkEnd w:id="279"/>
      <w:r/>
      <w:r/>
    </w:p>
    <w:p>
      <w:pPr>
        <w:ind w:firstLine="420"/>
        <w:jc w:val="left"/>
        <w:spacing w:line="360" w:lineRule="auto"/>
        <w:rPr>
          <w:color w:val="auto"/>
          <w:szCs w:val="21"/>
          <w:highlight w:val="none"/>
        </w:rPr>
      </w:pPr>
      <w:r>
        <w:rPr>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color w:val="auto"/>
          <w:szCs w:val="21"/>
          <w:highlight w:val="none"/>
        </w:rPr>
      </w:pPr>
      <w:r>
        <w:rPr>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color w:val="auto"/>
          <w:szCs w:val="21"/>
          <w:highlight w:val="none"/>
        </w:rPr>
      </w:pPr>
      <w:r>
        <w:rPr>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color w:val="auto"/>
          <w:szCs w:val="21"/>
          <w:highlight w:val="none"/>
        </w:rPr>
      </w:pPr>
      <w:r>
        <w:rPr>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67"/>
        <w:ind w:left="0" w:right="210" w:firstLine="426"/>
        <w:spacing w:before="156" w:after="156" w:line="360" w:lineRule="auto"/>
        <w:rPr>
          <w:color w:val="auto"/>
          <w:szCs w:val="21"/>
          <w:highlight w:val="none"/>
        </w:rPr>
      </w:pPr>
      <w:r/>
      <w:bookmarkStart w:id="283" w:name="_Toc104560881"/>
      <w:r/>
      <w:bookmarkStart w:id="284" w:name="_Toc107246262"/>
      <w:r/>
      <w:bookmarkStart w:id="285" w:name="_Toc157071016"/>
      <w:r/>
      <w:bookmarkStart w:id="286" w:name="_Toc103848567"/>
      <w:r>
        <w:rPr>
          <w:color w:val="auto"/>
          <w:szCs w:val="21"/>
          <w:highlight w:val="none"/>
        </w:rPr>
        <w:t xml:space="preserve">35.履约保证金</w:t>
      </w:r>
      <w:bookmarkEnd w:id="283"/>
      <w:r/>
      <w:bookmarkEnd w:id="284"/>
      <w:r/>
      <w:bookmarkEnd w:id="285"/>
      <w:r/>
      <w:bookmarkEnd w:id="286"/>
      <w:r/>
      <w:r/>
    </w:p>
    <w:p>
      <w:pPr>
        <w:ind w:firstLine="420"/>
        <w:jc w:val="left"/>
        <w:spacing w:line="360" w:lineRule="auto"/>
        <w:rPr>
          <w:color w:val="auto"/>
          <w:szCs w:val="21"/>
          <w:highlight w:val="none"/>
        </w:rPr>
      </w:pPr>
      <w:r>
        <w:rPr>
          <w:color w:val="auto"/>
          <w:szCs w:val="21"/>
          <w:highlight w:val="none"/>
        </w:rPr>
        <w:t xml:space="preserve">35.1本项目是否缴纳履约保证金见</w:t>
      </w:r>
      <w:r>
        <w:rPr>
          <w:b/>
          <w:color w:val="auto"/>
          <w:szCs w:val="21"/>
          <w:highlight w:val="none"/>
        </w:rPr>
        <w:t xml:space="preserve">投标人须知前附表</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35.2</w:t>
      </w:r>
      <w:r>
        <w:rPr>
          <w:b/>
          <w:color w:val="auto"/>
          <w:szCs w:val="21"/>
          <w:highlight w:val="none"/>
        </w:rPr>
        <w:t xml:space="preserve">投标人须知前附表</w:t>
      </w:r>
      <w:r>
        <w:rPr>
          <w:color w:val="auto"/>
          <w:szCs w:val="21"/>
          <w:highlight w:val="none"/>
        </w:rPr>
        <w:t xml:space="preserve">规定交纳履约保证金的，中标人在签订采购合同</w:t>
      </w:r>
      <w:r>
        <w:rPr>
          <w:rFonts w:hint="eastAsia"/>
          <w:color w:val="auto"/>
          <w:szCs w:val="21"/>
          <w:highlight w:val="none"/>
        </w:rPr>
        <w:t xml:space="preserve">后7天内</w:t>
      </w:r>
      <w:r>
        <w:rPr>
          <w:color w:val="auto"/>
          <w:szCs w:val="21"/>
          <w:highlight w:val="none"/>
        </w:rPr>
        <w:t xml:space="preserve">，向采购人提交履约保证金。联合体成交的，履约保证金以联合体各方或联合体中牵头人的名义提交。</w:t>
      </w:r>
      <w:r>
        <w:rPr>
          <w:rFonts w:hint="eastAsia"/>
          <w:color w:val="auto"/>
          <w:szCs w:val="21"/>
          <w:highlight w:val="none"/>
        </w:rPr>
        <w:t xml:space="preserve">允许供应商以保函等非现金形式缴纳或提交。履行合同义务，验收合格免费质保两年后20天内，无息退还。</w:t>
      </w:r>
      <w:r/>
    </w:p>
    <w:p>
      <w:pPr>
        <w:ind w:firstLine="420"/>
        <w:jc w:val="left"/>
        <w:spacing w:line="360" w:lineRule="auto"/>
        <w:rPr>
          <w:color w:val="auto"/>
          <w:szCs w:val="21"/>
          <w:highlight w:val="none"/>
        </w:rPr>
      </w:pPr>
      <w:r>
        <w:rPr>
          <w:color w:val="auto"/>
          <w:szCs w:val="21"/>
          <w:highlight w:val="none"/>
        </w:rPr>
        <w:t xml:space="preserve">35.3中标人没有按照</w:t>
      </w:r>
      <w:r>
        <w:rPr>
          <w:b/>
          <w:color w:val="auto"/>
          <w:szCs w:val="21"/>
          <w:highlight w:val="none"/>
        </w:rPr>
        <w:t xml:space="preserve">投标人须知前附表</w:t>
      </w:r>
      <w:r>
        <w:rPr>
          <w:color w:val="auto"/>
          <w:szCs w:val="21"/>
          <w:highlight w:val="none"/>
        </w:rPr>
        <w:t xml:space="preserve">的规定提交履约保证金的，视为放弃中标，其投标保证金不予退还。</w:t>
      </w:r>
      <w:bookmarkEnd w:id="280"/>
      <w:r/>
      <w:bookmarkEnd w:id="281"/>
      <w:r/>
      <w:bookmarkEnd w:id="282"/>
      <w:r>
        <w:rPr>
          <w:color w:val="auto"/>
          <w:szCs w:val="21"/>
          <w:highlight w:val="none"/>
        </w:rPr>
        <w:t xml:space="preserve"> </w:t>
      </w:r>
      <w:r/>
    </w:p>
    <w:p>
      <w:pPr>
        <w:pStyle w:val="867"/>
        <w:ind w:left="0" w:right="210" w:firstLine="426"/>
        <w:spacing w:before="156" w:after="156" w:line="360" w:lineRule="auto"/>
        <w:rPr>
          <w:color w:val="auto"/>
          <w:highlight w:val="none"/>
        </w:rPr>
      </w:pPr>
      <w:r/>
      <w:bookmarkStart w:id="287" w:name="_Toc107246263"/>
      <w:r/>
      <w:bookmarkStart w:id="288" w:name="_Toc157071017"/>
      <w:r>
        <w:rPr>
          <w:color w:val="auto"/>
          <w:highlight w:val="none"/>
        </w:rPr>
        <w:t xml:space="preserve">七．</w:t>
      </w:r>
      <w:bookmarkStart w:id="289" w:name="_Toc103848569"/>
      <w:r>
        <w:rPr>
          <w:color w:val="auto"/>
          <w:highlight w:val="none"/>
        </w:rPr>
        <w:t xml:space="preserve">询问与质疑</w:t>
      </w:r>
      <w:bookmarkEnd w:id="287"/>
      <w:r/>
      <w:bookmarkEnd w:id="288"/>
      <w:r/>
      <w:bookmarkEnd w:id="289"/>
      <w:r/>
      <w:r/>
    </w:p>
    <w:p>
      <w:pPr>
        <w:pStyle w:val="867"/>
        <w:ind w:left="0" w:right="210" w:firstLine="426"/>
        <w:spacing w:before="156" w:after="156" w:line="360" w:lineRule="auto"/>
        <w:rPr>
          <w:color w:val="auto"/>
          <w:szCs w:val="21"/>
          <w:highlight w:val="none"/>
        </w:rPr>
      </w:pPr>
      <w:r/>
      <w:bookmarkStart w:id="290" w:name="_Toc107246264"/>
      <w:r/>
      <w:bookmarkStart w:id="291" w:name="_Toc157071018"/>
      <w:r/>
      <w:bookmarkStart w:id="292" w:name="_Toc102117305"/>
      <w:r/>
      <w:bookmarkStart w:id="293" w:name="_Toc104560883"/>
      <w:r>
        <w:rPr>
          <w:color w:val="auto"/>
          <w:szCs w:val="21"/>
          <w:highlight w:val="none"/>
        </w:rPr>
        <w:t xml:space="preserve">36.询问</w:t>
      </w:r>
      <w:bookmarkEnd w:id="290"/>
      <w:r/>
      <w:bookmarkEnd w:id="291"/>
      <w:r/>
      <w:bookmarkEnd w:id="292"/>
      <w:r/>
      <w:bookmarkEnd w:id="293"/>
      <w:r/>
      <w:r/>
    </w:p>
    <w:p>
      <w:pPr>
        <w:ind w:firstLine="420"/>
        <w:jc w:val="left"/>
        <w:spacing w:line="360" w:lineRule="auto"/>
        <w:rPr>
          <w:color w:val="auto"/>
          <w:szCs w:val="21"/>
          <w:highlight w:val="none"/>
        </w:rPr>
      </w:pPr>
      <w:r>
        <w:rPr>
          <w:color w:val="auto"/>
          <w:szCs w:val="21"/>
          <w:highlight w:val="none"/>
        </w:rPr>
        <w:t xml:space="preserve">36.1供应商对政府采购活动事项有疑问的，可依法提出询问，并按</w:t>
      </w:r>
      <w:r>
        <w:rPr>
          <w:b/>
          <w:color w:val="auto"/>
          <w:szCs w:val="21"/>
          <w:highlight w:val="none"/>
        </w:rPr>
        <w:t xml:space="preserve">投标人须知前附表</w:t>
      </w:r>
      <w:r>
        <w:rPr>
          <w:color w:val="auto"/>
          <w:szCs w:val="21"/>
          <w:highlight w:val="none"/>
        </w:rPr>
        <w:t xml:space="preserve">载明的形式通知采购方。</w:t>
      </w:r>
      <w:r/>
    </w:p>
    <w:p>
      <w:pPr>
        <w:ind w:firstLine="420"/>
        <w:jc w:val="left"/>
        <w:spacing w:line="360" w:lineRule="auto"/>
        <w:rPr>
          <w:color w:val="auto"/>
          <w:szCs w:val="21"/>
          <w:highlight w:val="none"/>
        </w:rPr>
      </w:pPr>
      <w:r>
        <w:rPr>
          <w:color w:val="auto"/>
          <w:szCs w:val="21"/>
          <w:highlight w:val="none"/>
        </w:rPr>
        <w:t xml:space="preserve">36.2采购方对供应商依法提出的询问，在3个工作日内作出答复，但答复的内容不得涉及商业秘密。</w:t>
      </w:r>
      <w:r/>
    </w:p>
    <w:p>
      <w:pPr>
        <w:pStyle w:val="867"/>
        <w:ind w:left="0" w:right="210" w:firstLine="426"/>
        <w:spacing w:before="156" w:after="156" w:line="360" w:lineRule="auto"/>
        <w:rPr>
          <w:color w:val="auto"/>
          <w:szCs w:val="21"/>
          <w:highlight w:val="none"/>
        </w:rPr>
      </w:pPr>
      <w:r/>
      <w:bookmarkStart w:id="294" w:name="_Toc157071019"/>
      <w:r/>
      <w:bookmarkStart w:id="295" w:name="_Toc107246265"/>
      <w:r/>
      <w:bookmarkStart w:id="296" w:name="_Toc102117306"/>
      <w:r/>
      <w:bookmarkStart w:id="297" w:name="_Toc104560884"/>
      <w:r>
        <w:rPr>
          <w:color w:val="auto"/>
          <w:szCs w:val="21"/>
          <w:highlight w:val="none"/>
        </w:rPr>
        <w:t xml:space="preserve">37.质疑</w:t>
      </w:r>
      <w:bookmarkEnd w:id="294"/>
      <w:r/>
      <w:bookmarkEnd w:id="295"/>
      <w:r/>
      <w:bookmarkEnd w:id="296"/>
      <w:r/>
      <w:bookmarkEnd w:id="297"/>
      <w:r/>
      <w:r/>
    </w:p>
    <w:p>
      <w:pPr>
        <w:ind w:firstLine="420"/>
        <w:jc w:val="left"/>
        <w:spacing w:line="360" w:lineRule="auto"/>
        <w:rPr>
          <w:color w:val="auto"/>
          <w:szCs w:val="21"/>
          <w:highlight w:val="none"/>
        </w:rPr>
      </w:pPr>
      <w:r>
        <w:rPr>
          <w:color w:val="auto"/>
          <w:szCs w:val="21"/>
          <w:highlight w:val="none"/>
        </w:rPr>
        <w:t xml:space="preserve">37.1供应商认为采购文件、采购过程和成交结果使自己的权益受到损害的，可以在知道或者应知其权益受到损害之日起7个工作日内，以</w:t>
      </w:r>
      <w:r>
        <w:rPr>
          <w:b/>
          <w:color w:val="auto"/>
          <w:szCs w:val="21"/>
          <w:highlight w:val="none"/>
        </w:rPr>
        <w:t xml:space="preserve">投标人须知前附表</w:t>
      </w:r>
      <w:r>
        <w:rPr>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color w:val="auto"/>
          <w:szCs w:val="21"/>
          <w:highlight w:val="none"/>
        </w:rPr>
      </w:pPr>
      <w:r>
        <w:rPr>
          <w:color w:val="auto"/>
          <w:szCs w:val="21"/>
          <w:highlight w:val="none"/>
        </w:rPr>
        <w:t xml:space="preserve">37.2以联合体形式参加投标的，应当由组成联合体的所有供应商共同提出。</w:t>
      </w:r>
      <w:r/>
    </w:p>
    <w:p>
      <w:pPr>
        <w:ind w:firstLine="420"/>
        <w:jc w:val="left"/>
        <w:spacing w:line="360" w:lineRule="auto"/>
        <w:rPr>
          <w:color w:val="auto"/>
          <w:szCs w:val="21"/>
          <w:highlight w:val="none"/>
        </w:rPr>
      </w:pPr>
      <w:r>
        <w:rPr>
          <w:color w:val="auto"/>
          <w:szCs w:val="21"/>
          <w:highlight w:val="none"/>
        </w:rPr>
        <w:t xml:space="preserve">37.3质疑函应使用财政部制定的范本文件。</w:t>
      </w:r>
      <w:r/>
    </w:p>
    <w:p>
      <w:pPr>
        <w:pStyle w:val="867"/>
        <w:ind w:left="0" w:right="210" w:firstLine="426"/>
        <w:spacing w:before="156" w:after="156" w:line="360" w:lineRule="auto"/>
        <w:rPr>
          <w:color w:val="auto"/>
          <w:highlight w:val="none"/>
        </w:rPr>
      </w:pPr>
      <w:r/>
      <w:bookmarkStart w:id="298" w:name="_Toc157071020"/>
      <w:r/>
      <w:bookmarkStart w:id="299" w:name="_Toc107246266"/>
      <w:r>
        <w:rPr>
          <w:color w:val="auto"/>
          <w:highlight w:val="none"/>
        </w:rPr>
        <w:t xml:space="preserve">八．其他</w:t>
      </w:r>
      <w:bookmarkEnd w:id="298"/>
      <w:r/>
      <w:bookmarkEnd w:id="299"/>
      <w:r/>
      <w:r/>
    </w:p>
    <w:p>
      <w:pPr>
        <w:pStyle w:val="867"/>
        <w:ind w:left="0" w:right="210" w:firstLine="426"/>
        <w:spacing w:before="156" w:after="156" w:line="360" w:lineRule="auto"/>
        <w:rPr>
          <w:color w:val="auto"/>
          <w:szCs w:val="21"/>
          <w:highlight w:val="none"/>
        </w:rPr>
      </w:pPr>
      <w:r/>
      <w:bookmarkStart w:id="300" w:name="_Toc103848572"/>
      <w:r/>
      <w:bookmarkStart w:id="301" w:name="_Toc104560886"/>
      <w:r/>
      <w:bookmarkStart w:id="302" w:name="_Toc107246267"/>
      <w:r/>
      <w:bookmarkStart w:id="303" w:name="_Toc157071021"/>
      <w:r>
        <w:rPr>
          <w:color w:val="auto"/>
          <w:szCs w:val="21"/>
          <w:highlight w:val="none"/>
        </w:rPr>
        <w:t xml:space="preserve">38.招标代理服务费</w:t>
      </w:r>
      <w:bookmarkEnd w:id="300"/>
      <w:r/>
      <w:bookmarkEnd w:id="301"/>
      <w:r/>
      <w:bookmarkEnd w:id="302"/>
      <w:r/>
      <w:bookmarkEnd w:id="303"/>
      <w:r/>
      <w:r/>
    </w:p>
    <w:p>
      <w:pPr>
        <w:ind w:firstLine="420"/>
        <w:jc w:val="left"/>
        <w:spacing w:line="360" w:lineRule="auto"/>
        <w:rPr>
          <w:color w:val="auto"/>
          <w:szCs w:val="21"/>
          <w:highlight w:val="none"/>
        </w:rPr>
      </w:pPr>
      <w:r>
        <w:rPr>
          <w:color w:val="auto"/>
          <w:szCs w:val="21"/>
          <w:highlight w:val="none"/>
        </w:rPr>
        <w:t xml:space="preserve">38.1中标人是否交纳投招标代理服务费及相关要求见</w:t>
      </w:r>
      <w:r>
        <w:rPr>
          <w:b/>
          <w:color w:val="auto"/>
          <w:szCs w:val="21"/>
          <w:highlight w:val="none"/>
        </w:rPr>
        <w:t xml:space="preserve">投标人须知前附表</w:t>
      </w:r>
      <w:r>
        <w:rPr>
          <w:color w:val="auto"/>
          <w:szCs w:val="21"/>
          <w:highlight w:val="none"/>
        </w:rPr>
        <w:t xml:space="preserve">。</w:t>
      </w:r>
      <w:r/>
    </w:p>
    <w:p>
      <w:pPr>
        <w:pStyle w:val="867"/>
        <w:ind w:left="0" w:right="210" w:firstLine="426"/>
        <w:spacing w:before="156" w:after="156" w:line="360" w:lineRule="auto"/>
        <w:rPr>
          <w:color w:val="auto"/>
          <w:szCs w:val="21"/>
          <w:highlight w:val="none"/>
        </w:rPr>
      </w:pPr>
      <w:r/>
      <w:bookmarkStart w:id="304" w:name="_Toc157071022"/>
      <w:r/>
      <w:bookmarkStart w:id="305" w:name="_Toc104560887"/>
      <w:r/>
      <w:bookmarkStart w:id="306" w:name="_Toc107246268"/>
      <w:r/>
      <w:bookmarkStart w:id="307" w:name="_Toc103848573"/>
      <w:r>
        <w:rPr>
          <w:color w:val="auto"/>
          <w:szCs w:val="21"/>
          <w:highlight w:val="none"/>
        </w:rPr>
        <w:t xml:space="preserve">39.其他规定</w:t>
      </w:r>
      <w:bookmarkEnd w:id="304"/>
      <w:r/>
      <w:bookmarkEnd w:id="305"/>
      <w:r/>
      <w:bookmarkEnd w:id="306"/>
      <w:r/>
      <w:bookmarkEnd w:id="307"/>
      <w:r/>
      <w:r/>
    </w:p>
    <w:p>
      <w:pPr>
        <w:ind w:firstLine="420"/>
        <w:jc w:val="left"/>
        <w:spacing w:line="360" w:lineRule="auto"/>
        <w:rPr>
          <w:color w:val="auto"/>
          <w:szCs w:val="21"/>
          <w:highlight w:val="none"/>
        </w:rPr>
      </w:pPr>
      <w:r>
        <w:rPr>
          <w:color w:val="auto"/>
          <w:szCs w:val="21"/>
          <w:highlight w:val="none"/>
        </w:rPr>
        <w:t xml:space="preserve">39.1投标文件的其他规定见</w:t>
      </w:r>
      <w:r>
        <w:rPr>
          <w:b/>
          <w:color w:val="auto"/>
          <w:szCs w:val="21"/>
          <w:highlight w:val="none"/>
        </w:rPr>
        <w:t xml:space="preserve">投标人须知前附</w:t>
      </w:r>
      <w:r>
        <w:rPr>
          <w:color w:val="auto"/>
          <w:szCs w:val="21"/>
          <w:highlight w:val="none"/>
        </w:rPr>
        <w:t xml:space="preserve">表。</w:t>
      </w:r>
      <w:r/>
    </w:p>
    <w:p>
      <w:pPr>
        <w:rPr>
          <w:color w:val="auto"/>
          <w:highlight w:val="none"/>
        </w:rPr>
      </w:pPr>
      <w:r/>
      <w:bookmarkStart w:id="308" w:name="_Toc103848574"/>
      <w:r/>
      <w:bookmarkStart w:id="309" w:name="_Toc104560888"/>
      <w:r/>
      <w:bookmarkStart w:id="310" w:name="_Toc107246269"/>
      <w:r/>
      <w:r/>
    </w:p>
    <w:p>
      <w:pPr>
        <w:pStyle w:val="867"/>
        <w:ind w:left="0" w:right="210" w:firstLine="426"/>
        <w:spacing w:before="156" w:after="156" w:line="360" w:lineRule="auto"/>
        <w:rPr>
          <w:color w:val="auto"/>
          <w:szCs w:val="21"/>
          <w:highlight w:val="none"/>
        </w:rPr>
      </w:pPr>
      <w:r/>
      <w:bookmarkStart w:id="311" w:name="_Toc157071023"/>
      <w:r>
        <w:rPr>
          <w:color w:val="auto"/>
          <w:szCs w:val="21"/>
          <w:highlight w:val="none"/>
        </w:rPr>
        <w:t xml:space="preserve">40.文件解释权</w:t>
      </w:r>
      <w:bookmarkEnd w:id="308"/>
      <w:r/>
      <w:bookmarkEnd w:id="309"/>
      <w:r/>
      <w:bookmarkEnd w:id="310"/>
      <w:r/>
      <w:bookmarkEnd w:id="311"/>
      <w:r/>
      <w:r/>
    </w:p>
    <w:p>
      <w:pPr>
        <w:ind w:firstLine="420"/>
        <w:jc w:val="left"/>
        <w:spacing w:line="360" w:lineRule="auto"/>
        <w:rPr>
          <w:color w:val="auto"/>
          <w:szCs w:val="21"/>
          <w:highlight w:val="none"/>
        </w:rPr>
      </w:pPr>
      <w:r>
        <w:rPr>
          <w:color w:val="auto"/>
          <w:szCs w:val="21"/>
          <w:highlight w:val="none"/>
        </w:rPr>
        <w:t xml:space="preserve">40.1本招标文件的解释权归采购人（或采购代理机构）所有。</w:t>
      </w:r>
      <w:bookmarkEnd w:id="213"/>
      <w:r/>
      <w:r/>
    </w:p>
    <w:p>
      <w:pPr>
        <w:pStyle w:val="906"/>
        <w:ind w:firstLine="649"/>
        <w:spacing w:before="156" w:after="156"/>
        <w:rPr>
          <w:rFonts w:ascii="Times New Roman" w:hAnsi="Times New Roman"/>
          <w:color w:val="auto"/>
          <w:highlight w:val="none"/>
        </w:rPr>
      </w:pPr>
      <w:r/>
      <w:bookmarkStart w:id="312" w:name="_Toc91836563"/>
      <w:r>
        <w:rPr>
          <w:rFonts w:ascii="Times New Roman" w:hAnsi="Times New Roman"/>
          <w:color w:val="auto"/>
          <w:highlight w:val="none"/>
        </w:rPr>
        <w:br w:type="page" w:clear="all"/>
      </w:r>
      <w:bookmarkStart w:id="313" w:name="_Toc107246270"/>
      <w:r/>
      <w:bookmarkStart w:id="314" w:name="_Toc157071024"/>
      <w:r>
        <w:rPr>
          <w:rFonts w:ascii="Times New Roman" w:hAnsi="Times New Roman"/>
          <w:color w:val="auto"/>
          <w:highlight w:val="none"/>
        </w:rPr>
        <w:t xml:space="preserve">第三章 政府采购合同条款</w:t>
      </w:r>
      <w:bookmarkEnd w:id="312"/>
      <w:r>
        <w:rPr>
          <w:rFonts w:ascii="Times New Roman" w:hAnsi="Times New Roman"/>
          <w:color w:val="auto"/>
          <w:highlight w:val="none"/>
        </w:rPr>
        <w:t xml:space="preserve">及格式</w:t>
      </w:r>
      <w:bookmarkEnd w:id="313"/>
      <w:r/>
      <w:bookmarkEnd w:id="314"/>
      <w:r/>
      <w:r/>
    </w:p>
    <w:p>
      <w:pPr>
        <w:jc w:val="center"/>
        <w:rPr>
          <w:b/>
          <w:bCs/>
          <w:color w:val="auto"/>
          <w:sz w:val="32"/>
          <w:szCs w:val="32"/>
          <w:highlight w:val="none"/>
        </w:rPr>
      </w:pPr>
      <w:r>
        <w:rPr>
          <w:color w:val="auto"/>
          <w:highlight w:val="none"/>
        </w:rPr>
        <w:tab/>
      </w:r>
      <w:r>
        <w:rPr>
          <w:b/>
          <w:bCs/>
          <w:color w:val="auto"/>
          <w:sz w:val="32"/>
          <w:szCs w:val="32"/>
          <w:highlight w:val="none"/>
        </w:rPr>
        <w:t xml:space="preserve">设备采购合同</w:t>
      </w:r>
      <w:r>
        <w:rPr>
          <w:rFonts w:hint="eastAsia"/>
          <w:b/>
          <w:bCs/>
          <w:color w:val="auto"/>
          <w:sz w:val="32"/>
          <w:szCs w:val="32"/>
          <w:highlight w:val="none"/>
        </w:rPr>
        <w:t xml:space="preserve">（仅供参考）</w:t>
      </w:r>
      <w:r/>
    </w:p>
    <w:p>
      <w:pPr>
        <w:spacing w:line="440" w:lineRule="exact"/>
        <w:rPr>
          <w:color w:val="auto"/>
          <w:highlight w:val="none"/>
        </w:rPr>
      </w:pPr>
      <w:r>
        <w:rPr>
          <w:color w:val="auto"/>
          <w:highlight w:val="none"/>
        </w:rPr>
        <w:t xml:space="preserve">合同编号：               </w:t>
      </w:r>
      <w:r/>
    </w:p>
    <w:p>
      <w:pPr>
        <w:spacing w:line="440" w:lineRule="exact"/>
        <w:rPr>
          <w:color w:val="auto"/>
          <w:highlight w:val="none"/>
        </w:rPr>
      </w:pPr>
      <w:r>
        <w:rPr>
          <w:color w:val="auto"/>
          <w:highlight w:val="none"/>
        </w:rPr>
      </w:r>
      <w:r/>
    </w:p>
    <w:p>
      <w:pPr>
        <w:spacing w:line="440" w:lineRule="exact"/>
        <w:rPr>
          <w:b/>
          <w:color w:val="auto"/>
          <w:sz w:val="24"/>
          <w:highlight w:val="none"/>
        </w:rPr>
      </w:pPr>
      <w:r>
        <w:rPr>
          <w:b/>
          <w:color w:val="auto"/>
          <w:sz w:val="24"/>
          <w:highlight w:val="none"/>
        </w:rPr>
        <w:t xml:space="preserve">一、项目信息</w:t>
      </w:r>
      <w:r/>
    </w:p>
    <w:p>
      <w:pPr>
        <w:ind w:firstLine="420"/>
        <w:jc w:val="left"/>
        <w:spacing w:line="360" w:lineRule="auto"/>
        <w:rPr>
          <w:color w:val="auto"/>
          <w:szCs w:val="21"/>
          <w:highlight w:val="none"/>
        </w:rPr>
      </w:pPr>
      <w:r>
        <w:rPr>
          <w:color w:val="auto"/>
          <w:szCs w:val="21"/>
          <w:highlight w:val="none"/>
        </w:rPr>
        <w:t xml:space="preserve">项目名称：</w:t>
      </w:r>
      <w:r>
        <w:rPr>
          <w:rFonts w:hint="eastAsia"/>
          <w:color w:val="auto"/>
          <w:szCs w:val="21"/>
          <w:highlight w:val="none"/>
        </w:rPr>
        <w:t xml:space="preserve">苏州城市学院数字经济与管理学院专业实验平台</w:t>
      </w:r>
      <w:r>
        <w:rPr>
          <w:color w:val="auto"/>
          <w:szCs w:val="21"/>
          <w:highlight w:val="none"/>
        </w:rPr>
        <w:t xml:space="preserve">   </w:t>
      </w:r>
      <w:r/>
    </w:p>
    <w:p>
      <w:pPr>
        <w:ind w:firstLine="420"/>
        <w:jc w:val="left"/>
        <w:spacing w:line="360" w:lineRule="auto"/>
        <w:rPr>
          <w:color w:val="auto"/>
          <w:szCs w:val="21"/>
          <w:highlight w:val="none"/>
        </w:rPr>
      </w:pPr>
      <w:r>
        <w:rPr>
          <w:color w:val="auto"/>
          <w:szCs w:val="21"/>
          <w:highlight w:val="none"/>
        </w:rPr>
        <w:t xml:space="preserve">签订日期：     年   月   日  </w:t>
      </w:r>
      <w:r/>
    </w:p>
    <w:p>
      <w:pPr>
        <w:ind w:firstLine="420"/>
        <w:jc w:val="left"/>
        <w:spacing w:line="360" w:lineRule="auto"/>
        <w:rPr>
          <w:color w:val="auto"/>
          <w:szCs w:val="21"/>
          <w:highlight w:val="none"/>
        </w:rPr>
      </w:pPr>
      <w:r>
        <w:rPr>
          <w:color w:val="auto"/>
          <w:szCs w:val="21"/>
          <w:highlight w:val="none"/>
        </w:rPr>
        <w:t xml:space="preserve">项目编号：                   </w:t>
      </w:r>
      <w:r/>
    </w:p>
    <w:p>
      <w:pPr>
        <w:ind w:firstLine="420"/>
        <w:jc w:val="left"/>
        <w:spacing w:line="360" w:lineRule="auto"/>
        <w:rPr>
          <w:color w:val="auto"/>
          <w:szCs w:val="21"/>
          <w:highlight w:val="none"/>
        </w:rPr>
      </w:pPr>
      <w:r>
        <w:rPr>
          <w:color w:val="auto"/>
          <w:szCs w:val="21"/>
          <w:highlight w:val="none"/>
        </w:rPr>
        <w:t xml:space="preserve">签订地点：</w:t>
      </w:r>
      <w:r>
        <w:rPr>
          <w:rFonts w:hint="eastAsia"/>
          <w:color w:val="auto"/>
          <w:szCs w:val="21"/>
          <w:highlight w:val="none"/>
        </w:rPr>
        <w:t xml:space="preserve">苏州城市学院</w:t>
      </w:r>
      <w:r/>
    </w:p>
    <w:p>
      <w:pPr>
        <w:spacing w:line="440" w:lineRule="exact"/>
        <w:rPr>
          <w:b/>
          <w:color w:val="auto"/>
          <w:sz w:val="24"/>
          <w:highlight w:val="none"/>
        </w:rPr>
      </w:pPr>
      <w:r>
        <w:rPr>
          <w:b/>
          <w:color w:val="auto"/>
          <w:sz w:val="24"/>
          <w:highlight w:val="none"/>
        </w:rPr>
        <w:t xml:space="preserve">二、货物内容及质量要求和技术标准</w:t>
      </w:r>
      <w:r/>
    </w:p>
    <w:tbl>
      <w:tblPr>
        <w:tblStyle w:val="1124"/>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1"/>
        <w:gridCol w:w="939"/>
        <w:gridCol w:w="890"/>
        <w:gridCol w:w="977"/>
        <w:gridCol w:w="977"/>
        <w:gridCol w:w="608"/>
        <w:gridCol w:w="720"/>
        <w:gridCol w:w="1107"/>
        <w:gridCol w:w="803"/>
        <w:gridCol w:w="478"/>
        <w:gridCol w:w="252"/>
        <w:gridCol w:w="743"/>
      </w:tblGrid>
      <w:tr>
        <w:trPr>
          <w:trHeight w:val="633"/>
        </w:trPr>
        <w:tc>
          <w:tcPr>
            <w:tcW w:w="552" w:type="dxa"/>
            <w:vAlign w:val="center"/>
            <w:textDirection w:val="lrTb"/>
            <w:noWrap w:val="false"/>
          </w:tcPr>
          <w:p>
            <w:pPr>
              <w:jc w:val="center"/>
              <w:rPr>
                <w:color w:val="auto"/>
                <w:highlight w:val="none"/>
                <w:lang w:eastAsia="en-US"/>
              </w:rPr>
            </w:pPr>
            <w:r>
              <w:rPr>
                <w:color w:val="auto"/>
                <w:highlight w:val="none"/>
                <w:lang w:eastAsia="en-US"/>
              </w:rPr>
              <w:t xml:space="preserve">序号</w:t>
            </w:r>
            <w:r/>
          </w:p>
        </w:tc>
        <w:tc>
          <w:tcPr>
            <w:tcW w:w="939" w:type="dxa"/>
            <w:vAlign w:val="center"/>
            <w:textDirection w:val="lrTb"/>
            <w:noWrap w:val="false"/>
          </w:tcPr>
          <w:p>
            <w:pPr>
              <w:jc w:val="center"/>
              <w:rPr>
                <w:color w:val="auto"/>
                <w:highlight w:val="none"/>
                <w:lang w:eastAsia="en-US"/>
              </w:rPr>
            </w:pPr>
            <w:r>
              <w:rPr>
                <w:color w:val="auto"/>
                <w:highlight w:val="none"/>
                <w:lang w:eastAsia="en-US"/>
              </w:rPr>
              <w:t xml:space="preserve">物资名称</w:t>
            </w:r>
            <w:r/>
          </w:p>
        </w:tc>
        <w:tc>
          <w:tcPr>
            <w:tcW w:w="890" w:type="dxa"/>
            <w:vAlign w:val="center"/>
            <w:textDirection w:val="lrTb"/>
            <w:noWrap w:val="false"/>
          </w:tcPr>
          <w:p>
            <w:pPr>
              <w:jc w:val="center"/>
              <w:rPr>
                <w:color w:val="auto"/>
                <w:highlight w:val="none"/>
                <w:lang w:eastAsia="en-US"/>
              </w:rPr>
            </w:pPr>
            <w:r>
              <w:rPr>
                <w:color w:val="auto"/>
                <w:highlight w:val="none"/>
                <w:lang w:eastAsia="en-US"/>
              </w:rPr>
              <w:t xml:space="preserve">品牌</w:t>
            </w:r>
            <w:r/>
          </w:p>
        </w:tc>
        <w:tc>
          <w:tcPr>
            <w:tcW w:w="977" w:type="dxa"/>
            <w:vAlign w:val="center"/>
            <w:textDirection w:val="lrTb"/>
            <w:noWrap w:val="false"/>
          </w:tcPr>
          <w:p>
            <w:pPr>
              <w:jc w:val="center"/>
              <w:rPr>
                <w:color w:val="auto"/>
                <w:highlight w:val="none"/>
              </w:rPr>
            </w:pPr>
            <w:r>
              <w:rPr>
                <w:rFonts w:hint="eastAsia"/>
                <w:color w:val="auto"/>
                <w:highlight w:val="none"/>
              </w:rPr>
              <w:t xml:space="preserve">型号</w:t>
            </w:r>
            <w:r/>
          </w:p>
        </w:tc>
        <w:tc>
          <w:tcPr>
            <w:tcW w:w="977" w:type="dxa"/>
            <w:vAlign w:val="center"/>
            <w:textDirection w:val="lrTb"/>
            <w:noWrap w:val="false"/>
          </w:tcPr>
          <w:p>
            <w:pPr>
              <w:jc w:val="center"/>
              <w:rPr>
                <w:color w:val="auto"/>
                <w:highlight w:val="none"/>
                <w:lang w:eastAsia="en-US"/>
              </w:rPr>
            </w:pPr>
            <w:r>
              <w:rPr>
                <w:color w:val="auto"/>
                <w:highlight w:val="none"/>
                <w:lang w:eastAsia="en-US"/>
              </w:rPr>
              <w:t xml:space="preserve">编目码</w:t>
            </w:r>
            <w:r/>
          </w:p>
        </w:tc>
        <w:tc>
          <w:tcPr>
            <w:tcW w:w="608" w:type="dxa"/>
            <w:vAlign w:val="center"/>
            <w:textDirection w:val="lrTb"/>
            <w:noWrap w:val="false"/>
          </w:tcPr>
          <w:p>
            <w:pPr>
              <w:jc w:val="center"/>
              <w:rPr>
                <w:color w:val="auto"/>
                <w:highlight w:val="none"/>
                <w:lang w:eastAsia="en-US"/>
              </w:rPr>
            </w:pPr>
            <w:r>
              <w:rPr>
                <w:color w:val="auto"/>
                <w:highlight w:val="none"/>
                <w:lang w:eastAsia="en-US"/>
              </w:rPr>
              <w:t xml:space="preserve">计量 单位</w:t>
            </w:r>
            <w:r/>
          </w:p>
        </w:tc>
        <w:tc>
          <w:tcPr>
            <w:tcW w:w="720" w:type="dxa"/>
            <w:vAlign w:val="center"/>
            <w:textDirection w:val="lrTb"/>
            <w:noWrap w:val="false"/>
          </w:tcPr>
          <w:p>
            <w:pPr>
              <w:jc w:val="center"/>
              <w:rPr>
                <w:color w:val="auto"/>
                <w:highlight w:val="none"/>
                <w:lang w:eastAsia="en-US"/>
              </w:rPr>
            </w:pPr>
            <w:r>
              <w:rPr>
                <w:color w:val="auto"/>
                <w:highlight w:val="none"/>
                <w:lang w:eastAsia="en-US"/>
              </w:rPr>
              <w:t xml:space="preserve">数量</w:t>
            </w:r>
            <w:r/>
          </w:p>
        </w:tc>
        <w:tc>
          <w:tcPr>
            <w:tcW w:w="1107" w:type="dxa"/>
            <w:vAlign w:val="center"/>
            <w:textDirection w:val="lrTb"/>
            <w:noWrap w:val="false"/>
          </w:tcPr>
          <w:p>
            <w:pPr>
              <w:jc w:val="center"/>
              <w:rPr>
                <w:color w:val="auto"/>
                <w:highlight w:val="none"/>
                <w:lang w:eastAsia="en-US"/>
              </w:rPr>
            </w:pPr>
            <w:r>
              <w:rPr>
                <w:color w:val="auto"/>
                <w:highlight w:val="none"/>
                <w:lang w:eastAsia="en-US"/>
              </w:rPr>
              <w:t xml:space="preserve">技术参数</w:t>
            </w:r>
            <w:r/>
          </w:p>
        </w:tc>
        <w:tc>
          <w:tcPr>
            <w:tcW w:w="803" w:type="dxa"/>
            <w:vAlign w:val="center"/>
            <w:textDirection w:val="lrTb"/>
            <w:noWrap w:val="false"/>
          </w:tcPr>
          <w:p>
            <w:pPr>
              <w:jc w:val="center"/>
              <w:rPr>
                <w:color w:val="auto"/>
                <w:highlight w:val="none"/>
                <w:lang w:eastAsia="en-US"/>
              </w:rPr>
            </w:pPr>
            <w:r>
              <w:rPr>
                <w:color w:val="auto"/>
                <w:highlight w:val="none"/>
                <w:lang w:eastAsia="en-US"/>
              </w:rPr>
              <w:t xml:space="preserve">单价  （元）</w:t>
            </w:r>
            <w:r/>
          </w:p>
        </w:tc>
        <w:tc>
          <w:tcPr>
            <w:gridSpan w:val="2"/>
            <w:tcW w:w="730" w:type="dxa"/>
            <w:vAlign w:val="center"/>
            <w:textDirection w:val="lrTb"/>
            <w:noWrap w:val="false"/>
          </w:tcPr>
          <w:p>
            <w:pPr>
              <w:jc w:val="center"/>
              <w:rPr>
                <w:color w:val="auto"/>
                <w:highlight w:val="none"/>
                <w:lang w:eastAsia="en-US"/>
              </w:rPr>
            </w:pPr>
            <w:r>
              <w:rPr>
                <w:color w:val="auto"/>
                <w:highlight w:val="none"/>
                <w:lang w:eastAsia="en-US"/>
              </w:rPr>
              <w:t xml:space="preserve">总价  （元）</w:t>
            </w:r>
            <w:r/>
          </w:p>
        </w:tc>
        <w:tc>
          <w:tcPr>
            <w:tcW w:w="743" w:type="dxa"/>
            <w:vAlign w:val="center"/>
            <w:textDirection w:val="lrTb"/>
            <w:noWrap w:val="false"/>
          </w:tcPr>
          <w:p>
            <w:pPr>
              <w:jc w:val="center"/>
              <w:rPr>
                <w:color w:val="auto"/>
                <w:highlight w:val="none"/>
                <w:lang w:eastAsia="en-US"/>
              </w:rPr>
            </w:pPr>
            <w:r>
              <w:rPr>
                <w:color w:val="auto"/>
                <w:highlight w:val="none"/>
                <w:lang w:eastAsia="en-US"/>
              </w:rPr>
              <w:t xml:space="preserve">备注</w:t>
            </w:r>
            <w:r/>
          </w:p>
        </w:tc>
      </w:tr>
      <w:tr>
        <w:trPr>
          <w:trHeight w:val="1877"/>
        </w:trPr>
        <w:tc>
          <w:tcPr>
            <w:tcW w:w="552" w:type="dxa"/>
            <w:textDirection w:val="lrTb"/>
            <w:noWrap w:val="false"/>
          </w:tcPr>
          <w:p>
            <w:pPr>
              <w:jc w:val="left"/>
              <w:spacing w:after="160" w:line="296" w:lineRule="auto"/>
              <w:widowControl/>
              <w:rPr>
                <w:color w:val="auto"/>
                <w:szCs w:val="21"/>
                <w:highlight w:val="none"/>
                <w:lang w:eastAsia="en-US"/>
              </w:rPr>
            </w:pPr>
            <w:r>
              <w:rPr>
                <w:color w:val="auto"/>
                <w:szCs w:val="21"/>
                <w:highlight w:val="none"/>
                <w:lang w:eastAsia="en-US"/>
              </w:rPr>
            </w:r>
            <w:r/>
          </w:p>
          <w:p>
            <w:pPr>
              <w:jc w:val="left"/>
              <w:spacing w:after="160" w:line="296" w:lineRule="auto"/>
              <w:widowControl/>
              <w:rPr>
                <w:color w:val="auto"/>
                <w:szCs w:val="21"/>
                <w:highlight w:val="none"/>
                <w:lang w:eastAsia="en-US"/>
              </w:rPr>
            </w:pPr>
            <w:r>
              <w:rPr>
                <w:color w:val="auto"/>
                <w:szCs w:val="21"/>
                <w:highlight w:val="none"/>
                <w:lang w:eastAsia="en-US"/>
              </w:rPr>
            </w:r>
            <w:r/>
          </w:p>
          <w:p>
            <w:pPr>
              <w:jc w:val="left"/>
              <w:spacing w:after="160" w:line="297" w:lineRule="auto"/>
              <w:widowControl/>
              <w:rPr>
                <w:color w:val="auto"/>
                <w:szCs w:val="21"/>
                <w:highlight w:val="none"/>
                <w:lang w:eastAsia="en-US"/>
              </w:rPr>
            </w:pPr>
            <w:r>
              <w:rPr>
                <w:color w:val="auto"/>
                <w:szCs w:val="21"/>
                <w:highlight w:val="none"/>
                <w:lang w:eastAsia="en-US"/>
              </w:rPr>
            </w:r>
            <w:r/>
          </w:p>
          <w:p>
            <w:pPr>
              <w:ind w:left="293"/>
              <w:spacing w:before="68" w:after="160" w:line="179" w:lineRule="auto"/>
              <w:rPr>
                <w:color w:val="auto"/>
                <w:szCs w:val="21"/>
                <w:highlight w:val="none"/>
                <w:lang w:eastAsia="en-US"/>
              </w:rPr>
            </w:pPr>
            <w:r>
              <w:rPr>
                <w:color w:val="auto"/>
                <w:szCs w:val="21"/>
                <w:highlight w:val="none"/>
                <w:lang w:eastAsia="en-US"/>
              </w:rPr>
              <w:t xml:space="preserve">1</w:t>
            </w:r>
            <w:r/>
          </w:p>
        </w:tc>
        <w:tc>
          <w:tcPr>
            <w:tcW w:w="939"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890"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977"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977"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608"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720"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1107" w:type="dxa"/>
            <w:textDirection w:val="lrTb"/>
            <w:noWrap w:val="false"/>
          </w:tcPr>
          <w:p>
            <w:pPr>
              <w:ind w:right="65"/>
              <w:spacing w:before="52" w:after="160" w:line="255" w:lineRule="auto"/>
              <w:rPr>
                <w:color w:val="auto"/>
                <w:sz w:val="22"/>
                <w:szCs w:val="22"/>
                <w:highlight w:val="none"/>
              </w:rPr>
            </w:pPr>
            <w:r>
              <w:rPr>
                <w:i/>
                <w:iCs/>
                <w:color w:val="auto"/>
                <w:spacing w:val="-6"/>
                <w:sz w:val="22"/>
                <w:szCs w:val="22"/>
                <w:highlight w:val="none"/>
              </w:rPr>
              <w:t xml:space="preserve">技术参数应</w:t>
            </w:r>
            <w:r>
              <w:rPr>
                <w:color w:val="auto"/>
                <w:spacing w:val="3"/>
                <w:sz w:val="22"/>
                <w:szCs w:val="22"/>
                <w:highlight w:val="none"/>
              </w:rPr>
              <w:t xml:space="preserve"> </w:t>
            </w:r>
            <w:r>
              <w:rPr>
                <w:i/>
                <w:iCs/>
                <w:color w:val="auto"/>
                <w:spacing w:val="-6"/>
                <w:sz w:val="22"/>
                <w:szCs w:val="22"/>
                <w:highlight w:val="none"/>
              </w:rPr>
              <w:t xml:space="preserve">与投标文件</w:t>
            </w:r>
            <w:r>
              <w:rPr>
                <w:color w:val="auto"/>
                <w:spacing w:val="1"/>
                <w:sz w:val="22"/>
                <w:szCs w:val="22"/>
                <w:highlight w:val="none"/>
              </w:rPr>
              <w:t xml:space="preserve"> </w:t>
            </w:r>
            <w:r>
              <w:rPr>
                <w:i/>
                <w:iCs/>
                <w:color w:val="auto"/>
                <w:spacing w:val="-6"/>
                <w:sz w:val="22"/>
                <w:szCs w:val="22"/>
                <w:highlight w:val="none"/>
              </w:rPr>
              <w:t xml:space="preserve">一致，如内</w:t>
            </w:r>
            <w:r>
              <w:rPr>
                <w:color w:val="auto"/>
                <w:spacing w:val="1"/>
                <w:sz w:val="22"/>
                <w:szCs w:val="22"/>
                <w:highlight w:val="none"/>
              </w:rPr>
              <w:t xml:space="preserve"> </w:t>
            </w:r>
            <w:r>
              <w:rPr>
                <w:i/>
                <w:iCs/>
                <w:color w:val="auto"/>
                <w:spacing w:val="-6"/>
                <w:sz w:val="22"/>
                <w:szCs w:val="22"/>
                <w:highlight w:val="none"/>
              </w:rPr>
              <w:t xml:space="preserve">容较多，可</w:t>
            </w:r>
            <w:r/>
          </w:p>
          <w:p>
            <w:pPr>
              <w:ind w:right="65"/>
              <w:spacing w:before="31" w:after="160" w:line="238" w:lineRule="auto"/>
              <w:rPr>
                <w:color w:val="auto"/>
                <w:sz w:val="22"/>
                <w:szCs w:val="22"/>
                <w:highlight w:val="none"/>
                <w:lang w:eastAsia="en-US"/>
              </w:rPr>
            </w:pPr>
            <w:r>
              <w:rPr>
                <w:i/>
                <w:iCs/>
                <w:color w:val="auto"/>
                <w:spacing w:val="-10"/>
                <w:sz w:val="22"/>
                <w:szCs w:val="22"/>
                <w:highlight w:val="none"/>
                <w:lang w:eastAsia="en-US"/>
              </w:rPr>
              <w:t xml:space="preserve">以附页形式</w:t>
            </w:r>
            <w:r>
              <w:rPr>
                <w:color w:val="auto"/>
                <w:spacing w:val="2"/>
                <w:sz w:val="22"/>
                <w:szCs w:val="22"/>
                <w:highlight w:val="none"/>
                <w:lang w:eastAsia="en-US"/>
              </w:rPr>
              <w:t xml:space="preserve"> </w:t>
            </w:r>
            <w:r>
              <w:rPr>
                <w:i/>
                <w:iCs/>
                <w:color w:val="auto"/>
                <w:spacing w:val="8"/>
                <w:sz w:val="22"/>
                <w:szCs w:val="22"/>
                <w:highlight w:val="none"/>
                <w:lang w:eastAsia="en-US"/>
              </w:rPr>
              <w:t xml:space="preserve">呈现。</w:t>
            </w:r>
            <w:r/>
          </w:p>
        </w:tc>
        <w:tc>
          <w:tcPr>
            <w:tcW w:w="803"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gridSpan w:val="2"/>
            <w:tcW w:w="730"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743"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r>
      <w:tr>
        <w:trPr>
          <w:trHeight w:val="605"/>
        </w:trPr>
        <w:tc>
          <w:tcPr>
            <w:tcW w:w="552" w:type="dxa"/>
            <w:textDirection w:val="lrTb"/>
            <w:noWrap w:val="false"/>
          </w:tcPr>
          <w:p>
            <w:pPr>
              <w:ind w:left="241"/>
              <w:spacing w:before="289" w:after="160" w:line="306" w:lineRule="exact"/>
              <w:rPr>
                <w:color w:val="auto"/>
                <w:szCs w:val="21"/>
                <w:highlight w:val="none"/>
                <w:lang w:eastAsia="en-US"/>
              </w:rPr>
            </w:pPr>
            <w:r>
              <w:rPr>
                <w:color w:val="auto"/>
                <w:position w:val="2"/>
                <w:szCs w:val="21"/>
                <w:highlight w:val="none"/>
                <w:lang w:eastAsia="en-US"/>
              </w:rPr>
              <w:t xml:space="preserve">…</w:t>
            </w:r>
            <w:r/>
          </w:p>
        </w:tc>
        <w:tc>
          <w:tcPr>
            <w:tcW w:w="939"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890"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977"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977"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608"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720"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1107"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803"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gridSpan w:val="2"/>
            <w:tcW w:w="730"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W w:w="743"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r>
      <w:tr>
        <w:trPr>
          <w:trHeight w:val="560"/>
        </w:trPr>
        <w:tc>
          <w:tcPr>
            <w:gridSpan w:val="8"/>
            <w:tcBorders>
              <w:bottom w:val="none" w:color="000000" w:sz="4" w:space="0"/>
            </w:tcBorders>
            <w:tcW w:w="6770" w:type="dxa"/>
            <w:textDirection w:val="lrTb"/>
            <w:noWrap w:val="false"/>
          </w:tcPr>
          <w:p>
            <w:pPr>
              <w:ind w:left="3515"/>
              <w:spacing w:before="268" w:after="160" w:line="218" w:lineRule="auto"/>
              <w:rPr>
                <w:color w:val="auto"/>
                <w:szCs w:val="21"/>
                <w:highlight w:val="none"/>
                <w:lang w:eastAsia="en-US"/>
              </w:rPr>
            </w:pPr>
            <w:r>
              <w:rPr>
                <w:color w:val="auto"/>
                <w:spacing w:val="-10"/>
                <w:szCs w:val="21"/>
                <w:highlight w:val="none"/>
                <w:lang w:eastAsia="en-US"/>
              </w:rPr>
              <w:t xml:space="preserve">合</w:t>
            </w:r>
            <w:r>
              <w:rPr>
                <w:color w:val="auto"/>
                <w:spacing w:val="94"/>
                <w:szCs w:val="21"/>
                <w:highlight w:val="none"/>
                <w:lang w:eastAsia="en-US"/>
              </w:rPr>
              <w:t xml:space="preserve"> </w:t>
            </w:r>
            <w:r>
              <w:rPr>
                <w:color w:val="auto"/>
                <w:spacing w:val="-10"/>
                <w:szCs w:val="21"/>
                <w:highlight w:val="none"/>
                <w:lang w:eastAsia="en-US"/>
              </w:rPr>
              <w:t xml:space="preserve">计</w:t>
            </w:r>
            <w:r/>
          </w:p>
        </w:tc>
        <w:tc>
          <w:tcPr>
            <w:tcBorders>
              <w:bottom w:val="none" w:color="000000" w:sz="4" w:space="0"/>
            </w:tcBorders>
            <w:tcW w:w="803" w:type="dxa"/>
            <w:textDirection w:val="lrTb"/>
            <w:noWrap w:val="false"/>
          </w:tcPr>
          <w:p>
            <w:pPr>
              <w:ind w:left="3515"/>
              <w:spacing w:before="268" w:after="160" w:line="218" w:lineRule="auto"/>
              <w:rPr>
                <w:color w:val="auto"/>
                <w:spacing w:val="-10"/>
                <w:szCs w:val="21"/>
                <w:highlight w:val="none"/>
                <w:lang w:eastAsia="en-US"/>
              </w:rPr>
            </w:pPr>
            <w:r>
              <w:rPr>
                <w:color w:val="auto"/>
                <w:spacing w:val="-10"/>
                <w:szCs w:val="21"/>
                <w:highlight w:val="none"/>
                <w:lang w:eastAsia="en-US"/>
              </w:rPr>
            </w:r>
            <w:r/>
          </w:p>
        </w:tc>
        <w:tc>
          <w:tcPr>
            <w:gridSpan w:val="2"/>
            <w:tcBorders>
              <w:bottom w:val="none" w:color="000000" w:sz="4" w:space="0"/>
            </w:tcBorders>
            <w:tcW w:w="730"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c>
          <w:tcPr>
            <w:tcBorders>
              <w:bottom w:val="none" w:color="000000" w:sz="4" w:space="0"/>
            </w:tcBorders>
            <w:tcW w:w="743" w:type="dxa"/>
            <w:textDirection w:val="lrTb"/>
            <w:noWrap w:val="false"/>
          </w:tcPr>
          <w:p>
            <w:pPr>
              <w:jc w:val="left"/>
              <w:spacing w:after="160"/>
              <w:widowControl/>
              <w:rPr>
                <w:color w:val="auto"/>
                <w:szCs w:val="21"/>
                <w:highlight w:val="none"/>
                <w:lang w:eastAsia="en-US"/>
              </w:rPr>
            </w:pPr>
            <w:r>
              <w:rPr>
                <w:color w:val="auto"/>
                <w:szCs w:val="21"/>
                <w:highlight w:val="none"/>
                <w:lang w:eastAsia="en-US"/>
              </w:rPr>
            </w:r>
            <w:r/>
          </w:p>
        </w:tc>
      </w:tr>
      <w:tr>
        <w:trPr>
          <w:trHeight w:val="569"/>
        </w:trPr>
        <w:tc>
          <w:tcPr>
            <w:gridSpan w:val="10"/>
            <w:tcW w:w="8051" w:type="dxa"/>
            <w:textDirection w:val="lrTb"/>
            <w:noWrap w:val="false"/>
          </w:tcPr>
          <w:p>
            <w:pPr>
              <w:ind w:left="121"/>
              <w:spacing w:before="273" w:after="160" w:line="218" w:lineRule="auto"/>
              <w:rPr>
                <w:color w:val="auto"/>
                <w:szCs w:val="21"/>
                <w:highlight w:val="none"/>
              </w:rPr>
            </w:pPr>
            <w:r>
              <w:rPr>
                <w:color w:val="auto"/>
                <w:spacing w:val="-4"/>
                <w:szCs w:val="21"/>
                <w:highlight w:val="none"/>
              </w:rPr>
              <w:t xml:space="preserve">金额合计（人民币大写</w:t>
            </w:r>
            <w:r>
              <w:rPr>
                <w:color w:val="auto"/>
                <w:spacing w:val="-52"/>
                <w:szCs w:val="21"/>
                <w:highlight w:val="none"/>
              </w:rPr>
              <w:t xml:space="preserve">）：</w:t>
            </w:r>
            <w:r>
              <w:rPr>
                <w:color w:val="auto"/>
                <w:spacing w:val="6"/>
                <w:szCs w:val="21"/>
                <w:highlight w:val="none"/>
                <w:u w:val="single"/>
              </w:rPr>
              <w:t xml:space="preserve">                  </w:t>
            </w:r>
            <w:r>
              <w:rPr>
                <w:color w:val="auto"/>
                <w:spacing w:val="-88"/>
                <w:szCs w:val="21"/>
                <w:highlight w:val="none"/>
              </w:rPr>
              <w:t xml:space="preserve"> </w:t>
            </w:r>
            <w:r>
              <w:rPr>
                <w:color w:val="auto"/>
                <w:spacing w:val="-4"/>
                <w:szCs w:val="21"/>
                <w:highlight w:val="none"/>
              </w:rPr>
              <w:t xml:space="preserve">元      （小写</w:t>
            </w:r>
            <w:r>
              <w:rPr>
                <w:color w:val="auto"/>
                <w:spacing w:val="-52"/>
                <w:szCs w:val="21"/>
                <w:highlight w:val="none"/>
              </w:rPr>
              <w:t xml:space="preserve">）：</w:t>
            </w:r>
            <w:r>
              <w:rPr>
                <w:color w:val="auto"/>
                <w:spacing w:val="-4"/>
                <w:szCs w:val="21"/>
                <w:highlight w:val="none"/>
              </w:rPr>
              <w:t xml:space="preserve">¥</w:t>
            </w:r>
            <w:r>
              <w:rPr>
                <w:color w:val="auto"/>
                <w:spacing w:val="-4"/>
                <w:szCs w:val="21"/>
                <w:highlight w:val="none"/>
                <w:u w:val="single"/>
              </w:rPr>
              <w:t xml:space="preserve">                                </w:t>
            </w:r>
            <w:r>
              <w:rPr>
                <w:color w:val="auto"/>
                <w:spacing w:val="-5"/>
                <w:szCs w:val="21"/>
                <w:highlight w:val="none"/>
                <w:u w:val="single"/>
              </w:rPr>
              <w:t xml:space="preserve">        </w:t>
            </w:r>
            <w:r/>
          </w:p>
        </w:tc>
        <w:tc>
          <w:tcPr>
            <w:gridSpan w:val="2"/>
            <w:tcW w:w="995" w:type="dxa"/>
            <w:textDirection w:val="lrTb"/>
            <w:noWrap w:val="false"/>
          </w:tcPr>
          <w:p>
            <w:pPr>
              <w:ind w:left="121"/>
              <w:spacing w:before="273" w:after="160" w:line="218" w:lineRule="auto"/>
              <w:rPr>
                <w:color w:val="auto"/>
                <w:spacing w:val="-4"/>
                <w:szCs w:val="21"/>
                <w:highlight w:val="none"/>
              </w:rPr>
            </w:pPr>
            <w:r>
              <w:rPr>
                <w:color w:val="auto"/>
                <w:spacing w:val="-4"/>
                <w:szCs w:val="21"/>
                <w:highlight w:val="none"/>
              </w:rPr>
            </w:r>
            <w:r/>
          </w:p>
        </w:tc>
      </w:tr>
    </w:tbl>
    <w:p>
      <w:pPr>
        <w:ind w:firstLine="420"/>
        <w:jc w:val="left"/>
        <w:spacing w:line="360" w:lineRule="auto"/>
        <w:rPr>
          <w:color w:val="auto"/>
          <w:szCs w:val="21"/>
          <w:highlight w:val="none"/>
        </w:rPr>
      </w:pPr>
      <w:r>
        <w:rPr>
          <w:color w:val="auto"/>
          <w:szCs w:val="21"/>
          <w:highlight w:val="none"/>
        </w:rPr>
        <w:t xml:space="preserve">乙方所供的货物必须是全新的，符合投标文件的承诺，符合合同规定的规格、技术指标及外观质量要求。</w:t>
      </w:r>
      <w:r/>
    </w:p>
    <w:p>
      <w:pPr>
        <w:spacing w:line="440" w:lineRule="exact"/>
        <w:rPr>
          <w:color w:val="auto"/>
          <w:highlight w:val="none"/>
        </w:rPr>
      </w:pPr>
      <w:r>
        <w:rPr>
          <w:b/>
          <w:color w:val="auto"/>
          <w:sz w:val="24"/>
          <w:highlight w:val="none"/>
        </w:rPr>
        <w:t xml:space="preserve">三、交货时间、地点</w:t>
      </w:r>
      <w:r/>
    </w:p>
    <w:p>
      <w:pPr>
        <w:ind w:firstLine="420"/>
        <w:jc w:val="left"/>
        <w:spacing w:line="360" w:lineRule="auto"/>
        <w:rPr>
          <w:color w:val="auto"/>
          <w:szCs w:val="21"/>
          <w:highlight w:val="none"/>
        </w:rPr>
      </w:pPr>
      <w:r>
        <w:rPr>
          <w:rFonts w:hint="eastAsia"/>
          <w:color w:val="auto"/>
          <w:szCs w:val="21"/>
          <w:highlight w:val="none"/>
        </w:rPr>
        <w:t xml:space="preserve">1.交货期：</w:t>
      </w:r>
      <w:r>
        <w:rPr>
          <w:rFonts w:hint="eastAsia"/>
          <w:bCs/>
          <w:color w:val="auto"/>
          <w:szCs w:val="21"/>
          <w:highlight w:val="none"/>
        </w:rPr>
        <w:t xml:space="preserve">自合同签订之日起30个日历日</w:t>
      </w:r>
      <w:r/>
    </w:p>
    <w:p>
      <w:pPr>
        <w:ind w:firstLine="420"/>
        <w:jc w:val="left"/>
        <w:spacing w:line="360" w:lineRule="auto"/>
        <w:rPr>
          <w:color w:val="auto"/>
          <w:szCs w:val="21"/>
          <w:highlight w:val="none"/>
        </w:rPr>
      </w:pPr>
      <w:r>
        <w:rPr>
          <w:color w:val="auto"/>
          <w:szCs w:val="21"/>
          <w:highlight w:val="none"/>
        </w:rPr>
        <w:t xml:space="preserve">2.交货方式：本合同项下的产品由乙方送至甲方指定的交货地点</w:t>
      </w:r>
      <w:r/>
    </w:p>
    <w:p>
      <w:pPr>
        <w:ind w:firstLine="420"/>
        <w:jc w:val="left"/>
        <w:spacing w:line="360" w:lineRule="auto"/>
        <w:rPr>
          <w:color w:val="auto"/>
          <w:szCs w:val="21"/>
          <w:highlight w:val="none"/>
        </w:rPr>
      </w:pPr>
      <w:r>
        <w:rPr>
          <w:color w:val="auto"/>
          <w:szCs w:val="21"/>
          <w:highlight w:val="none"/>
        </w:rPr>
        <w:t xml:space="preserve">3.交货地点：由采购人指定地点</w:t>
      </w:r>
      <w:r/>
    </w:p>
    <w:p>
      <w:pPr>
        <w:spacing w:line="440" w:lineRule="exact"/>
        <w:rPr>
          <w:b/>
          <w:color w:val="auto"/>
          <w:sz w:val="24"/>
          <w:highlight w:val="none"/>
        </w:rPr>
      </w:pPr>
      <w:r>
        <w:rPr>
          <w:b/>
          <w:color w:val="auto"/>
          <w:sz w:val="24"/>
          <w:highlight w:val="none"/>
        </w:rPr>
        <w:t xml:space="preserve">四、调试和验收 </w:t>
      </w:r>
      <w:r/>
    </w:p>
    <w:p>
      <w:pPr>
        <w:ind w:firstLine="420"/>
        <w:jc w:val="left"/>
        <w:spacing w:line="360" w:lineRule="auto"/>
        <w:rPr>
          <w:color w:val="auto"/>
          <w:szCs w:val="21"/>
          <w:highlight w:val="none"/>
        </w:rPr>
      </w:pPr>
      <w:r>
        <w:rPr>
          <w:color w:val="auto"/>
          <w:highlight w:val="none"/>
        </w:rPr>
        <w:t xml:space="preserve">1.甲方对乙方提交的货物依据招标文件上的技术规格要求和国家有关质量</w:t>
      </w:r>
      <w:r>
        <w:rPr>
          <w:color w:val="auto"/>
          <w:szCs w:val="21"/>
          <w:highlight w:val="none"/>
        </w:rPr>
        <w:t xml:space="preserve">标准进行现场初步验收，外观、说明书符合招标文件技术要求的，给予签收，初步验收不合格的不予签收。</w:t>
      </w:r>
      <w:r/>
    </w:p>
    <w:p>
      <w:pPr>
        <w:ind w:firstLine="420"/>
        <w:jc w:val="left"/>
        <w:spacing w:line="360" w:lineRule="auto"/>
        <w:rPr>
          <w:color w:val="auto"/>
          <w:szCs w:val="21"/>
          <w:highlight w:val="none"/>
        </w:rPr>
      </w:pPr>
      <w:r>
        <w:rPr>
          <w:color w:val="auto"/>
          <w:szCs w:val="21"/>
          <w:highlight w:val="none"/>
        </w:rPr>
        <w:t xml:space="preserve">2.乙方交货前应对产品作出全面检查和对验收文件进行整理，并列出清单，作为甲方收货验收和使用的技术条件依据，检验的结果应随货物交甲方。</w:t>
      </w:r>
      <w:r/>
    </w:p>
    <w:p>
      <w:pPr>
        <w:ind w:firstLine="420"/>
        <w:jc w:val="left"/>
        <w:spacing w:line="360" w:lineRule="auto"/>
        <w:rPr>
          <w:color w:val="auto"/>
          <w:szCs w:val="21"/>
          <w:highlight w:val="none"/>
        </w:rPr>
      </w:pPr>
      <w:r>
        <w:rPr>
          <w:color w:val="auto"/>
          <w:szCs w:val="21"/>
          <w:highlight w:val="none"/>
        </w:rPr>
        <w:t xml:space="preserve">3.甲方对乙方提供的货物在使用前进行调试时，乙方需负责安装并培训甲方的使用操作人员，并协助甲方一起调试，直到符合技术要求，甲方才做最终验收。</w:t>
      </w:r>
      <w:r/>
    </w:p>
    <w:p>
      <w:pPr>
        <w:ind w:firstLine="420"/>
        <w:jc w:val="left"/>
        <w:spacing w:line="360" w:lineRule="auto"/>
        <w:rPr>
          <w:color w:val="auto"/>
          <w:szCs w:val="21"/>
          <w:highlight w:val="none"/>
        </w:rPr>
      </w:pPr>
      <w:r>
        <w:rPr>
          <w:color w:val="auto"/>
          <w:szCs w:val="21"/>
          <w:highlight w:val="none"/>
        </w:rPr>
        <w:t xml:space="preserve">4.对技术复杂的货物，甲方可请国家认可的专业检测机构参与初步验收及最终验收，并由其出具质量检测报告。</w:t>
      </w:r>
      <w:r/>
    </w:p>
    <w:p>
      <w:pPr>
        <w:ind w:firstLine="420"/>
        <w:jc w:val="left"/>
        <w:spacing w:line="360" w:lineRule="auto"/>
        <w:rPr>
          <w:color w:val="auto"/>
          <w:szCs w:val="21"/>
          <w:highlight w:val="none"/>
        </w:rPr>
      </w:pPr>
      <w:r>
        <w:rPr>
          <w:color w:val="auto"/>
          <w:szCs w:val="21"/>
          <w:highlight w:val="none"/>
        </w:rPr>
        <w:t xml:space="preserve">5.验收时乙方必须在现场，验收完毕后作出验收结果报告；验收费用由甲乙双方协商解决。</w:t>
      </w:r>
      <w:r/>
    </w:p>
    <w:p>
      <w:pPr>
        <w:rPr>
          <w:b/>
          <w:color w:val="auto"/>
          <w:sz w:val="24"/>
          <w:highlight w:val="none"/>
        </w:rPr>
      </w:pPr>
      <w:r>
        <w:rPr>
          <w:b/>
          <w:color w:val="auto"/>
          <w:sz w:val="24"/>
          <w:highlight w:val="none"/>
        </w:rPr>
        <w:t xml:space="preserve">五、货物包装、发运及运输</w:t>
      </w:r>
      <w:r/>
    </w:p>
    <w:p>
      <w:pPr>
        <w:ind w:firstLine="420"/>
        <w:jc w:val="left"/>
        <w:spacing w:line="360" w:lineRule="auto"/>
        <w:rPr>
          <w:color w:val="auto"/>
          <w:highlight w:val="none"/>
        </w:rPr>
      </w:pPr>
      <w:r>
        <w:rPr>
          <w:color w:val="auto"/>
          <w:highlight w:val="none"/>
        </w:rPr>
        <w:t xml:space="preserve">1.乙方应在货物发运前对其进行满足运输距离、防潮、防震、防锈和防破损装卸等要求包装，以保证货物安全运达甲方指定地点。</w:t>
      </w:r>
      <w:r/>
    </w:p>
    <w:p>
      <w:pPr>
        <w:ind w:firstLine="420"/>
        <w:jc w:val="left"/>
        <w:spacing w:line="360" w:lineRule="auto"/>
        <w:rPr>
          <w:color w:val="auto"/>
          <w:highlight w:val="none"/>
        </w:rPr>
      </w:pPr>
      <w:r>
        <w:rPr>
          <w:color w:val="auto"/>
          <w:highlight w:val="none"/>
        </w:rPr>
        <w:t xml:space="preserve">2.使用说明书、质量检验证明书、随配附件和工具以及清单一并附于货物内。</w:t>
      </w:r>
      <w:r/>
    </w:p>
    <w:p>
      <w:pPr>
        <w:ind w:firstLine="420"/>
        <w:jc w:val="left"/>
        <w:spacing w:line="360" w:lineRule="auto"/>
        <w:rPr>
          <w:color w:val="auto"/>
          <w:highlight w:val="none"/>
        </w:rPr>
      </w:pPr>
      <w:r>
        <w:rPr>
          <w:color w:val="auto"/>
          <w:highlight w:val="none"/>
        </w:rPr>
        <w:t xml:space="preserve">3.乙方在货物发运手续办理完毕后</w:t>
      </w:r>
      <w:r>
        <w:rPr>
          <w:rFonts w:hint="eastAsia"/>
          <w:color w:val="auto"/>
          <w:highlight w:val="none"/>
        </w:rPr>
        <w:t xml:space="preserve">  </w:t>
      </w:r>
      <w:r>
        <w:rPr>
          <w:color w:val="auto"/>
          <w:highlight w:val="none"/>
        </w:rPr>
        <w:t xml:space="preserve">小时内或货到甲方</w:t>
      </w:r>
      <w:r>
        <w:rPr>
          <w:rFonts w:hint="eastAsia"/>
          <w:color w:val="auto"/>
          <w:highlight w:val="none"/>
        </w:rPr>
        <w:t xml:space="preserve">  </w:t>
      </w:r>
      <w:r>
        <w:rPr>
          <w:color w:val="auto"/>
          <w:highlight w:val="none"/>
        </w:rPr>
        <w:t xml:space="preserve">小时前通知甲方，以准备接货。</w:t>
      </w:r>
      <w:r/>
    </w:p>
    <w:p>
      <w:pPr>
        <w:ind w:firstLine="420"/>
        <w:jc w:val="left"/>
        <w:spacing w:line="360" w:lineRule="auto"/>
        <w:rPr>
          <w:color w:val="auto"/>
          <w:highlight w:val="none"/>
        </w:rPr>
      </w:pPr>
      <w:r>
        <w:rPr>
          <w:color w:val="auto"/>
          <w:highlight w:val="none"/>
        </w:rPr>
        <w:t xml:space="preserve">4.货物在交付甲方前发生的风险均由乙方负责。</w:t>
      </w:r>
      <w:r/>
    </w:p>
    <w:p>
      <w:pPr>
        <w:ind w:firstLine="420"/>
        <w:jc w:val="left"/>
        <w:spacing w:line="360" w:lineRule="auto"/>
        <w:rPr>
          <w:color w:val="auto"/>
          <w:highlight w:val="none"/>
        </w:rPr>
      </w:pPr>
      <w:r>
        <w:rPr>
          <w:color w:val="auto"/>
          <w:highlight w:val="none"/>
        </w:rPr>
        <w:t xml:space="preserve">5.货物在规定的交付期限内由乙方送达甲方指定的地点视为交付，乙方同时需通知甲方货物已送达。</w:t>
      </w:r>
      <w:r/>
    </w:p>
    <w:p>
      <w:pPr>
        <w:rPr>
          <w:b/>
          <w:color w:val="auto"/>
          <w:sz w:val="24"/>
          <w:highlight w:val="none"/>
        </w:rPr>
      </w:pPr>
      <w:r>
        <w:rPr>
          <w:b/>
          <w:color w:val="auto"/>
          <w:sz w:val="24"/>
          <w:highlight w:val="none"/>
        </w:rPr>
        <w:t xml:space="preserve">六、质量保证及售后服务</w:t>
      </w:r>
      <w:r/>
    </w:p>
    <w:p>
      <w:pPr>
        <w:ind w:firstLine="420"/>
        <w:jc w:val="left"/>
        <w:spacing w:line="360" w:lineRule="auto"/>
        <w:rPr>
          <w:color w:val="auto"/>
          <w:highlight w:val="none"/>
        </w:rPr>
      </w:pPr>
      <w:r>
        <w:rPr>
          <w:color w:val="auto"/>
          <w:highlight w:val="none"/>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line="360" w:lineRule="auto"/>
        <w:rPr>
          <w:color w:val="auto"/>
          <w:highlight w:val="none"/>
        </w:rPr>
      </w:pPr>
      <w:r>
        <w:rPr>
          <w:color w:val="auto"/>
          <w:highlight w:val="none"/>
        </w:rPr>
        <w:t xml:space="preserve">2、乙方提供的货物在质量期内因货物本身的质量问题发生故障，乙方应负责免费更换。对达不到技术要求者，根据实际情况，经双方协商，可按以下办法处理：</w:t>
      </w:r>
      <w:r/>
    </w:p>
    <w:p>
      <w:pPr>
        <w:ind w:firstLine="420"/>
        <w:jc w:val="left"/>
        <w:spacing w:line="360" w:lineRule="auto"/>
        <w:rPr>
          <w:color w:val="auto"/>
          <w:highlight w:val="none"/>
        </w:rPr>
      </w:pPr>
      <w:r>
        <w:rPr>
          <w:color w:val="auto"/>
          <w:highlight w:val="none"/>
        </w:rPr>
        <w:t xml:space="preserve">(1)更换：由乙方承担所发生的全部费用。</w:t>
      </w:r>
      <w:r/>
    </w:p>
    <w:p>
      <w:pPr>
        <w:ind w:firstLine="420"/>
        <w:jc w:val="left"/>
        <w:spacing w:line="360" w:lineRule="auto"/>
        <w:rPr>
          <w:color w:val="auto"/>
          <w:highlight w:val="none"/>
        </w:rPr>
      </w:pPr>
      <w:r>
        <w:rPr>
          <w:color w:val="auto"/>
          <w:highlight w:val="none"/>
        </w:rPr>
        <w:t xml:space="preserve">(2)贬值处理：由甲乙双方合议定价。</w:t>
      </w:r>
      <w:r/>
    </w:p>
    <w:p>
      <w:pPr>
        <w:ind w:firstLine="420"/>
        <w:jc w:val="left"/>
        <w:spacing w:line="360" w:lineRule="auto"/>
        <w:rPr>
          <w:color w:val="auto"/>
          <w:highlight w:val="none"/>
        </w:rPr>
      </w:pPr>
      <w:r>
        <w:rPr>
          <w:color w:val="auto"/>
          <w:highlight w:val="none"/>
        </w:rPr>
        <w:t xml:space="preserve">(3)退货处理：乙方应退还甲方支付的合同款，同时应承担该货物的直接费用(运输、保险、检验、货款利息及银行手续费等)。</w:t>
      </w:r>
      <w:r/>
    </w:p>
    <w:p>
      <w:pPr>
        <w:ind w:firstLine="420"/>
        <w:jc w:val="left"/>
        <w:spacing w:line="360" w:lineRule="auto"/>
        <w:rPr>
          <w:color w:val="auto"/>
          <w:highlight w:val="none"/>
        </w:rPr>
      </w:pPr>
      <w:r>
        <w:rPr>
          <w:color w:val="auto"/>
          <w:highlight w:val="none"/>
        </w:rPr>
        <w:t xml:space="preserve">3、如在使用过程中发生质量问题，乙方在接到甲方通知后在    小时内到达甲方现场。</w:t>
      </w:r>
      <w:r/>
    </w:p>
    <w:p>
      <w:pPr>
        <w:ind w:firstLine="420"/>
        <w:jc w:val="left"/>
        <w:spacing w:line="360" w:lineRule="auto"/>
        <w:rPr>
          <w:color w:val="auto"/>
          <w:highlight w:val="none"/>
        </w:rPr>
      </w:pPr>
      <w:r>
        <w:rPr>
          <w:color w:val="auto"/>
          <w:highlight w:val="none"/>
        </w:rPr>
        <w:t xml:space="preserve">4、在质保期内，乙方应对货物出现的质量及安全问题负责处理解决并承担一切费用。</w:t>
      </w:r>
      <w:r/>
    </w:p>
    <w:p>
      <w:pPr>
        <w:ind w:firstLine="420"/>
        <w:jc w:val="left"/>
        <w:spacing w:line="360" w:lineRule="auto"/>
        <w:rPr>
          <w:color w:val="auto"/>
          <w:highlight w:val="none"/>
        </w:rPr>
      </w:pPr>
      <w:r>
        <w:rPr>
          <w:color w:val="auto"/>
          <w:highlight w:val="none"/>
        </w:rPr>
        <w:t xml:space="preserve">5、</w:t>
      </w:r>
      <w:r>
        <w:rPr>
          <w:rFonts w:hint="eastAsia"/>
          <w:color w:val="auto"/>
          <w:highlight w:val="none"/>
        </w:rPr>
        <w:t xml:space="preserve">质保</w:t>
      </w:r>
      <w:r>
        <w:rPr>
          <w:rFonts w:hint="eastAsia"/>
          <w:color w:val="auto"/>
          <w:highlight w:val="none"/>
          <w:u w:val="single"/>
        </w:rPr>
        <w:t xml:space="preserve">    </w:t>
      </w:r>
      <w:r>
        <w:rPr>
          <w:rFonts w:hint="eastAsia"/>
          <w:color w:val="auto"/>
          <w:highlight w:val="none"/>
        </w:rPr>
        <w:t xml:space="preserve">年，质保期内免费升级到最新版本。</w:t>
      </w:r>
      <w:r/>
    </w:p>
    <w:p>
      <w:pPr>
        <w:ind w:firstLine="420"/>
        <w:jc w:val="left"/>
        <w:spacing w:line="360" w:lineRule="auto"/>
        <w:rPr>
          <w:rFonts w:hint="eastAsia"/>
          <w:color w:val="auto"/>
          <w:highlight w:val="none"/>
        </w:rPr>
      </w:pPr>
      <w:r>
        <w:rPr>
          <w:rFonts w:hint="eastAsia"/>
          <w:color w:val="auto"/>
          <w:highlight w:val="none"/>
        </w:rPr>
        <w:t xml:space="preserve">6、履约保证金，按招标文件要求，男方收取中标金额的</w:t>
      </w:r>
      <w:r>
        <w:rPr>
          <w:rFonts w:hint="eastAsia"/>
          <w:color w:val="auto"/>
          <w:highlight w:val="none"/>
          <w:u w:val="single"/>
        </w:rPr>
        <w:t xml:space="preserve">5%</w:t>
      </w:r>
      <w:r>
        <w:rPr>
          <w:rFonts w:hint="eastAsia"/>
          <w:color w:val="auto"/>
          <w:highlight w:val="none"/>
        </w:rPr>
        <w:t xml:space="preserve">作为该项目履约保证金，履约保证金由乙方在签订合同后7天内支付给采购单位，允许乙方以保函等非现金形式缴纳或提交。履行合同义务，验收合格免费质保两年后20天内，甲方无息退还。</w:t>
      </w:r>
      <w:r/>
    </w:p>
    <w:p>
      <w:pPr>
        <w:rPr>
          <w:color w:val="auto"/>
          <w:sz w:val="24"/>
          <w:highlight w:val="none"/>
          <w:u w:val="single"/>
        </w:rPr>
      </w:pPr>
      <w:r>
        <w:rPr>
          <w:rFonts w:hint="eastAsia"/>
          <w:b/>
          <w:color w:val="auto"/>
          <w:sz w:val="24"/>
          <w:highlight w:val="none"/>
          <w:lang w:val="en-US" w:eastAsia="zh-CN"/>
        </w:rPr>
        <w:t xml:space="preserve">七</w:t>
      </w:r>
      <w:r>
        <w:rPr>
          <w:b/>
          <w:color w:val="auto"/>
          <w:sz w:val="24"/>
          <w:highlight w:val="none"/>
        </w:rPr>
        <w:t xml:space="preserve">、</w:t>
      </w:r>
      <w:r>
        <w:rPr>
          <w:rFonts w:hint="eastAsia"/>
          <w:b/>
          <w:color w:val="auto"/>
          <w:sz w:val="24"/>
          <w:highlight w:val="none"/>
        </w:rPr>
        <w:t xml:space="preserve">项目</w:t>
      </w:r>
      <w:r>
        <w:rPr>
          <w:b/>
          <w:color w:val="auto"/>
          <w:sz w:val="24"/>
          <w:highlight w:val="none"/>
        </w:rPr>
        <w:t xml:space="preserve">款支付</w:t>
      </w:r>
      <w:r/>
    </w:p>
    <w:p>
      <w:pPr>
        <w:ind w:firstLine="420"/>
        <w:spacing w:line="440" w:lineRule="exact"/>
        <w:rPr>
          <w:color w:val="auto"/>
          <w:highlight w:val="none"/>
        </w:rPr>
      </w:pPr>
      <w:r>
        <w:rPr>
          <w:color w:val="auto"/>
          <w:highlight w:val="none"/>
        </w:rPr>
        <w:t xml:space="preserve">1.</w:t>
      </w:r>
      <w:r>
        <w:rPr>
          <w:rFonts w:hint="eastAsia"/>
          <w:color w:val="auto"/>
          <w:highlight w:val="none"/>
        </w:rPr>
        <w:t xml:space="preserve">签订合同后15个工作日内支付合同金额的40%（如遇学校年终结算关账，则延后支付），项目安装调试完成并验收合格后15个工作日支付合同金额的60%。付款前，乙方须提供合法有效的正规发票。</w:t>
      </w:r>
      <w:r/>
    </w:p>
    <w:p>
      <w:pPr>
        <w:ind w:firstLine="420"/>
        <w:spacing w:line="440" w:lineRule="exact"/>
        <w:rPr>
          <w:color w:val="auto"/>
          <w:highlight w:val="none"/>
        </w:rPr>
      </w:pPr>
      <w:r>
        <w:rPr>
          <w:color w:val="auto"/>
          <w:highlight w:val="none"/>
        </w:rPr>
        <w:t xml:space="preserve">2.当采购数量与实际使用数量不一致时，乙方应根据实际使用量供货，合同的最终结算金额按实际使用量乘以成交单价进行计算。</w:t>
      </w:r>
      <w:r/>
    </w:p>
    <w:p>
      <w:pPr>
        <w:rPr>
          <w:b/>
          <w:color w:val="auto"/>
          <w:sz w:val="24"/>
          <w:highlight w:val="none"/>
        </w:rPr>
      </w:pPr>
      <w:r>
        <w:rPr>
          <w:rFonts w:hint="eastAsia"/>
          <w:b/>
          <w:color w:val="auto"/>
          <w:sz w:val="24"/>
          <w:highlight w:val="none"/>
          <w:lang w:val="en-US" w:eastAsia="zh-CN"/>
        </w:rPr>
        <w:t xml:space="preserve">八</w:t>
      </w:r>
      <w:r>
        <w:rPr>
          <w:b/>
          <w:color w:val="auto"/>
          <w:sz w:val="24"/>
          <w:highlight w:val="none"/>
        </w:rPr>
        <w:t xml:space="preserve">、合同生效</w:t>
      </w:r>
      <w:r/>
    </w:p>
    <w:p>
      <w:pPr>
        <w:ind w:firstLine="420"/>
        <w:jc w:val="left"/>
        <w:spacing w:line="360" w:lineRule="auto"/>
        <w:rPr>
          <w:color w:val="auto"/>
          <w:highlight w:val="none"/>
        </w:rPr>
      </w:pPr>
      <w:r>
        <w:rPr>
          <w:color w:val="auto"/>
          <w:highlight w:val="none"/>
        </w:rPr>
        <w:t xml:space="preserve">（一）本合同按照××采购有关规定编号后，经甲方、乙方共同签署，并加盖单位印章后生效。未经甲方允许，乙方不得部分或全部转让其应当履行的合同义务，不得在合同未生效前履行合同相关义务。</w:t>
      </w:r>
      <w:r/>
    </w:p>
    <w:p>
      <w:pPr>
        <w:ind w:left="210" w:firstLine="210"/>
        <w:jc w:val="left"/>
        <w:spacing w:line="360" w:lineRule="auto"/>
        <w:rPr>
          <w:color w:val="auto"/>
          <w:highlight w:val="none"/>
        </w:rPr>
      </w:pPr>
      <w:r>
        <w:rPr>
          <w:color w:val="auto"/>
          <w:highlight w:val="none"/>
        </w:rPr>
        <w:t xml:space="preserve">（二）本合同一式</w:t>
      </w:r>
      <w:r>
        <w:rPr>
          <w:rFonts w:hint="eastAsia"/>
          <w:color w:val="auto"/>
          <w:highlight w:val="none"/>
        </w:rPr>
        <w:t xml:space="preserve">肆</w:t>
      </w:r>
      <w:r>
        <w:rPr>
          <w:color w:val="auto"/>
          <w:highlight w:val="none"/>
        </w:rPr>
        <w:t xml:space="preserve">份， 由甲乙双方各执</w:t>
      </w:r>
      <w:r>
        <w:rPr>
          <w:rFonts w:hint="eastAsia"/>
          <w:color w:val="auto"/>
          <w:highlight w:val="none"/>
        </w:rPr>
        <w:t xml:space="preserve">贰</w:t>
      </w:r>
      <w:r>
        <w:rPr>
          <w:color w:val="auto"/>
          <w:highlight w:val="none"/>
        </w:rPr>
        <w:t xml:space="preserve">份， 甲方  部门 份，经双方签字盖章后生效，未经事宜双方协商解决。。</w:t>
      </w:r>
      <w:r/>
    </w:p>
    <w:p>
      <w:pPr>
        <w:rPr>
          <w:b/>
          <w:color w:val="auto"/>
          <w:sz w:val="24"/>
          <w:highlight w:val="none"/>
        </w:rPr>
      </w:pPr>
      <w:r>
        <w:rPr>
          <w:rFonts w:hint="eastAsia"/>
          <w:b/>
          <w:color w:val="auto"/>
          <w:sz w:val="24"/>
          <w:highlight w:val="none"/>
          <w:lang w:val="en-US" w:eastAsia="zh-CN"/>
        </w:rPr>
        <w:t xml:space="preserve">九</w:t>
      </w:r>
      <w:r>
        <w:rPr>
          <w:b/>
          <w:color w:val="auto"/>
          <w:sz w:val="24"/>
          <w:highlight w:val="none"/>
        </w:rPr>
        <w:t xml:space="preserve">、其他事项</w:t>
      </w:r>
      <w:r/>
    </w:p>
    <w:p>
      <w:pPr>
        <w:ind w:firstLine="420"/>
        <w:jc w:val="left"/>
        <w:spacing w:line="360" w:lineRule="auto"/>
        <w:rPr>
          <w:color w:val="auto"/>
          <w:highlight w:val="none"/>
        </w:rPr>
      </w:pPr>
      <w:r>
        <w:rPr>
          <w:color w:val="auto"/>
          <w:highlight w:val="none"/>
        </w:rPr>
        <w:t xml:space="preserve">注释：本项目采购文件、中标（成交）供应商投标（报价）文件、补充文件、澄清承诺，均为签订合同的依据。合同内容不得与采购文件、投 标（报价）文件、补充文件、澄清承诺的实质性内容相背离。</w:t>
      </w:r>
      <w:r/>
    </w:p>
    <w:p>
      <w:pPr>
        <w:ind w:firstLine="420"/>
        <w:jc w:val="left"/>
        <w:spacing w:line="360" w:lineRule="auto"/>
        <w:rPr>
          <w:color w:val="auto"/>
          <w:highlight w:val="none"/>
        </w:rPr>
      </w:pPr>
      <w:r>
        <w:rPr>
          <w:color w:val="auto"/>
          <w:highlight w:val="none"/>
        </w:rPr>
      </w:r>
      <w:r/>
    </w:p>
    <w:p>
      <w:pPr>
        <w:ind w:firstLine="420"/>
        <w:jc w:val="left"/>
        <w:spacing w:line="360" w:lineRule="auto"/>
        <w:rPr>
          <w:color w:val="auto"/>
          <w:highlight w:val="none"/>
        </w:rPr>
      </w:pPr>
      <w:r>
        <w:rPr>
          <w:color w:val="auto"/>
          <w:highlight w:val="none"/>
        </w:rPr>
        <w:t xml:space="preserve">甲      方：（公章）</w:t>
      </w:r>
      <w:r>
        <w:rPr>
          <w:rFonts w:hint="eastAsia"/>
          <w:color w:val="auto"/>
          <w:highlight w:val="none"/>
        </w:rPr>
        <w:t xml:space="preserve">苏州城市学院</w:t>
      </w:r>
      <w:r>
        <w:rPr>
          <w:color w:val="auto"/>
          <w:highlight w:val="none"/>
        </w:rPr>
        <w:t xml:space="preserve"> </w:t>
      </w:r>
      <w:r>
        <w:rPr>
          <w:rFonts w:hint="eastAsia"/>
          <w:color w:val="auto"/>
          <w:highlight w:val="none"/>
        </w:rPr>
        <w:t xml:space="preserve">  </w:t>
      </w:r>
      <w:r>
        <w:rPr>
          <w:color w:val="auto"/>
          <w:highlight w:val="none"/>
        </w:rPr>
        <w:t xml:space="preserve">乙      方：（公章）</w:t>
      </w:r>
      <w:r/>
    </w:p>
    <w:p>
      <w:pPr>
        <w:ind w:firstLine="420"/>
        <w:jc w:val="left"/>
        <w:spacing w:line="360" w:lineRule="auto"/>
        <w:rPr>
          <w:color w:val="auto"/>
          <w:highlight w:val="none"/>
        </w:rPr>
      </w:pPr>
      <w:r>
        <w:rPr>
          <w:color w:val="auto"/>
          <w:highlight w:val="none"/>
        </w:rPr>
        <w:t xml:space="preserve">法定代表人：                       法定代表人：            </w:t>
      </w:r>
      <w:r/>
    </w:p>
    <w:p>
      <w:pPr>
        <w:ind w:firstLine="420"/>
        <w:jc w:val="left"/>
        <w:spacing w:line="360" w:lineRule="auto"/>
        <w:rPr>
          <w:color w:val="auto"/>
          <w:highlight w:val="none"/>
        </w:rPr>
      </w:pPr>
      <w:r>
        <w:rPr>
          <w:color w:val="auto"/>
          <w:highlight w:val="none"/>
        </w:rPr>
        <w:t xml:space="preserve">委托代理人：                       委托代理人：            </w:t>
      </w:r>
      <w:r/>
    </w:p>
    <w:p>
      <w:pPr>
        <w:ind w:firstLine="420"/>
        <w:jc w:val="left"/>
        <w:spacing w:line="360" w:lineRule="auto"/>
        <w:rPr>
          <w:color w:val="auto"/>
          <w:highlight w:val="none"/>
        </w:rPr>
      </w:pPr>
      <w:r>
        <w:rPr>
          <w:color w:val="auto"/>
          <w:highlight w:val="none"/>
        </w:rPr>
        <w:t xml:space="preserve">电      话：</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      话：           </w:t>
      </w:r>
      <w:r/>
    </w:p>
    <w:p>
      <w:pPr>
        <w:ind w:firstLine="420"/>
        <w:jc w:val="left"/>
        <w:spacing w:line="360" w:lineRule="auto"/>
        <w:rPr>
          <w:color w:val="auto"/>
          <w:highlight w:val="none"/>
        </w:rPr>
      </w:pPr>
      <w:r>
        <w:rPr>
          <w:color w:val="auto"/>
          <w:highlight w:val="none"/>
        </w:rPr>
        <w:t xml:space="preserve">传      真：                       传      真：           </w:t>
      </w:r>
      <w:r/>
    </w:p>
    <w:p>
      <w:pPr>
        <w:ind w:firstLine="420"/>
        <w:jc w:val="left"/>
        <w:spacing w:line="360" w:lineRule="auto"/>
        <w:rPr>
          <w:color w:val="auto"/>
          <w:highlight w:val="none"/>
        </w:rPr>
      </w:pPr>
      <w:r>
        <w:rPr>
          <w:color w:val="auto"/>
          <w:highlight w:val="none"/>
        </w:rPr>
        <w:t xml:space="preserve">账户名称：                         账户名称：              </w:t>
      </w:r>
      <w:r/>
    </w:p>
    <w:p>
      <w:pPr>
        <w:ind w:firstLine="420"/>
        <w:jc w:val="left"/>
        <w:spacing w:line="360" w:lineRule="auto"/>
        <w:rPr>
          <w:color w:val="auto"/>
          <w:highlight w:val="none"/>
        </w:rPr>
      </w:pPr>
      <w:r>
        <w:rPr>
          <w:color w:val="auto"/>
          <w:highlight w:val="none"/>
        </w:rPr>
        <w:t xml:space="preserve">开户银行：                         开户银行：</w:t>
      </w:r>
      <w:r/>
    </w:p>
    <w:p>
      <w:pPr>
        <w:ind w:firstLine="420"/>
        <w:jc w:val="left"/>
        <w:spacing w:line="360" w:lineRule="auto"/>
        <w:rPr>
          <w:color w:val="auto"/>
          <w:highlight w:val="none"/>
        </w:rPr>
      </w:pPr>
      <w:r>
        <w:rPr>
          <w:color w:val="auto"/>
          <w:highlight w:val="none"/>
        </w:rPr>
        <w:t xml:space="preserve">账    号：                        </w:t>
      </w:r>
      <w:r>
        <w:rPr>
          <w:rFonts w:hint="eastAsia"/>
          <w:color w:val="auto"/>
          <w:highlight w:val="none"/>
        </w:rPr>
        <w:t xml:space="preserve"> </w:t>
      </w:r>
      <w:r>
        <w:rPr>
          <w:color w:val="auto"/>
          <w:highlight w:val="none"/>
        </w:rPr>
        <w:t xml:space="preserve">账    号：</w:t>
      </w:r>
      <w:r/>
    </w:p>
    <w:p>
      <w:pPr>
        <w:ind w:firstLine="420"/>
        <w:jc w:val="left"/>
        <w:spacing w:line="360" w:lineRule="auto"/>
        <w:rPr>
          <w:color w:val="auto"/>
          <w:highlight w:val="none"/>
        </w:rPr>
      </w:pPr>
      <w:r>
        <w:rPr>
          <w:color w:val="auto"/>
          <w:highlight w:val="none"/>
        </w:rPr>
        <w:br w:type="page" w:clear="all"/>
      </w:r>
      <w:bookmarkStart w:id="315" w:name="_Toc91836564"/>
      <w:r/>
      <w:bookmarkStart w:id="316" w:name="_Toc107246271"/>
      <w:r/>
      <w:r/>
    </w:p>
    <w:p>
      <w:pPr>
        <w:pStyle w:val="906"/>
        <w:ind w:firstLine="649"/>
        <w:spacing w:before="156" w:after="156"/>
        <w:rPr>
          <w:rFonts w:ascii="Times New Roman" w:hAnsi="Times New Roman"/>
          <w:color w:val="auto"/>
          <w:sz w:val="24"/>
          <w:highlight w:val="none"/>
          <w:lang w:val="zh-CN"/>
        </w:rPr>
      </w:pPr>
      <w:r/>
      <w:bookmarkStart w:id="317" w:name="_Toc157071026"/>
      <w:r>
        <w:rPr>
          <w:rFonts w:ascii="Times New Roman" w:hAnsi="Times New Roman"/>
          <w:color w:val="auto"/>
          <w:highlight w:val="none"/>
        </w:rPr>
        <w:t xml:space="preserve">第四章 采购需求</w:t>
      </w:r>
      <w:bookmarkEnd w:id="315"/>
      <w:r/>
      <w:bookmarkEnd w:id="316"/>
      <w:r/>
      <w:bookmarkEnd w:id="317"/>
      <w:r/>
      <w:r/>
    </w:p>
    <w:p>
      <w:pPr>
        <w:ind w:firstLine="410"/>
        <w:jc w:val="left"/>
        <w:spacing w:line="360" w:lineRule="auto"/>
        <w:rPr>
          <w:rFonts w:hint="eastAsia" w:ascii="宋体" w:hAnsi="宋体" w:eastAsia="宋体" w:cs="宋体"/>
          <w:bCs/>
          <w:color w:val="auto"/>
          <w:szCs w:val="21"/>
          <w:highlight w:val="none"/>
          <w:lang w:eastAsia="zh-CN"/>
        </w:rPr>
      </w:pPr>
      <w:r/>
      <w:bookmarkStart w:id="318" w:name="_Toc18966"/>
      <w:r/>
      <w:bookmarkStart w:id="319" w:name="_Toc55223596"/>
      <w:r/>
      <w:bookmarkStart w:id="320" w:name="_Toc55221859"/>
      <w:r/>
      <w:bookmarkStart w:id="321" w:name="_Toc3388"/>
      <w:r/>
      <w:bookmarkStart w:id="322" w:name="_Toc26273"/>
      <w:r/>
      <w:bookmarkStart w:id="323" w:name="_Toc5334"/>
      <w:r/>
      <w:bookmarkStart w:id="324" w:name="_Toc22074"/>
      <w:r/>
      <w:bookmarkStart w:id="325" w:name="_Toc157071031"/>
      <w:r>
        <w:rPr>
          <w:rFonts w:hint="eastAsia" w:ascii="宋体" w:hAnsi="宋体" w:cs="宋体"/>
          <w:b/>
          <w:bCs/>
          <w:color w:val="auto"/>
          <w:spacing w:val="-3"/>
          <w:szCs w:val="21"/>
          <w:highlight w:val="none"/>
        </w:rPr>
        <w:t xml:space="preserve">一、项目名称：</w:t>
      </w:r>
      <w:r>
        <w:rPr>
          <w:rFonts w:hint="eastAsia" w:ascii="宋体" w:hAnsi="宋体" w:cs="宋体"/>
          <w:bCs/>
          <w:color w:val="auto"/>
          <w:szCs w:val="21"/>
          <w:highlight w:val="none"/>
          <w:lang w:eastAsia="zh-CN"/>
        </w:rPr>
        <w:t xml:space="preserve">苏州城市学院数字经济与管理学院专业实验平台项目</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
          <w:color w:val="auto"/>
          <w:szCs w:val="21"/>
          <w:highlight w:val="none"/>
        </w:rPr>
        <w:t xml:space="preserve">二、项目概况：</w:t>
      </w:r>
      <w:r>
        <w:rPr>
          <w:rFonts w:hint="eastAsia" w:ascii="宋体" w:hAnsi="宋体" w:cs="宋体"/>
          <w:bCs/>
          <w:color w:val="auto"/>
          <w:szCs w:val="21"/>
          <w:highlight w:val="none"/>
        </w:rPr>
        <w:t xml:space="preserve">为</w:t>
      </w:r>
      <w:r>
        <w:rPr>
          <w:rFonts w:hint="eastAsia" w:ascii="宋体" w:hAnsi="宋体" w:cs="宋体"/>
          <w:bCs/>
          <w:color w:val="auto"/>
          <w:szCs w:val="21"/>
          <w:highlight w:val="none"/>
          <w:lang w:val="zh-CN"/>
        </w:rPr>
        <w:t xml:space="preserve">积极响应国家数字经济发展战略，深化教育教学改革，切实提升学生数字化素养与前沿技术应用能力，本项目拟购置“专业实验平台”。该服务核心包含</w:t>
      </w:r>
      <w:r>
        <w:rPr>
          <w:rFonts w:hint="eastAsia" w:ascii="宋体" w:hAnsi="宋体" w:cs="宋体"/>
          <w:bCs/>
          <w:color w:val="auto"/>
          <w:szCs w:val="21"/>
          <w:highlight w:val="none"/>
        </w:rPr>
        <w:t xml:space="preserve">数字财务实验平台、量化投资交易实验平台、数字经济智能对抗实验平台等三个实验平台6套系统等</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要求所有实验系统作为一个一体化平台实施，所有资源都需要通过《</w:t>
      </w:r>
      <w:r>
        <w:rPr>
          <w:rFonts w:hint="eastAsia" w:ascii="宋体" w:hAnsi="宋体" w:cs="宋体"/>
          <w:bCs/>
          <w:color w:val="auto"/>
          <w:szCs w:val="21"/>
          <w:highlight w:val="none"/>
          <w:lang w:val="zh-CN"/>
        </w:rPr>
        <w:t xml:space="preserve">数字</w:t>
      </w:r>
      <w:r>
        <w:rPr>
          <w:rFonts w:hint="eastAsia" w:ascii="宋体" w:hAnsi="宋体" w:cs="宋体"/>
          <w:bCs/>
          <w:color w:val="auto"/>
          <w:szCs w:val="21"/>
          <w:highlight w:val="none"/>
        </w:rPr>
        <w:t xml:space="preserve">商科</w:t>
      </w:r>
      <w:r>
        <w:rPr>
          <w:rFonts w:hint="eastAsia" w:ascii="宋体" w:hAnsi="宋体" w:cs="宋体"/>
          <w:bCs/>
          <w:color w:val="auto"/>
          <w:szCs w:val="21"/>
          <w:highlight w:val="none"/>
          <w:lang w:val="zh-CN"/>
        </w:rPr>
        <w:t xml:space="preserve">智慧实验中心</w:t>
      </w:r>
      <w:r>
        <w:rPr>
          <w:rFonts w:hint="eastAsia" w:ascii="宋体" w:hAnsi="宋体" w:cs="宋体"/>
          <w:bCs/>
          <w:color w:val="auto"/>
          <w:szCs w:val="21"/>
          <w:highlight w:val="none"/>
        </w:rPr>
        <w:t xml:space="preserve">管理平台》统一管理和运行，实现单点统一登录和统一服务师生。</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w:t>
      </w:r>
      <w:r>
        <w:rPr>
          <w:rFonts w:hint="eastAsia" w:ascii="宋体" w:hAnsi="宋体" w:cs="宋体"/>
          <w:bCs/>
          <w:color w:val="auto"/>
          <w:szCs w:val="21"/>
          <w:highlight w:val="none"/>
          <w:lang w:val="zh-CN"/>
        </w:rPr>
        <w:t xml:space="preserve">秉持“新财经+新技术”的创新发展理念，深度融合人工智能、大数据、RPA等前沿数字技术与现代财经教育体系，通过构建</w:t>
      </w:r>
      <w:r>
        <w:rPr>
          <w:rFonts w:hint="eastAsia" w:ascii="宋体" w:hAnsi="宋体" w:cs="宋体"/>
          <w:bCs/>
          <w:color w:val="auto"/>
          <w:szCs w:val="21"/>
          <w:highlight w:val="none"/>
        </w:rPr>
        <w:t xml:space="preserve">满足</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AI财务大数据分析</w:t>
      </w:r>
      <w:r>
        <w:rPr>
          <w:rFonts w:hint="eastAsia" w:ascii="宋体" w:hAnsi="宋体" w:cs="宋体"/>
          <w:bCs/>
          <w:color w:val="auto"/>
          <w:szCs w:val="21"/>
          <w:highlight w:val="none"/>
          <w:lang w:val="zh-CN"/>
        </w:rPr>
        <w:t xml:space="preserve">》、《财务机器人</w:t>
      </w:r>
      <w:r>
        <w:rPr>
          <w:rFonts w:hint="eastAsia" w:ascii="宋体" w:hAnsi="宋体" w:cs="宋体"/>
          <w:bCs/>
          <w:color w:val="auto"/>
          <w:szCs w:val="21"/>
          <w:highlight w:val="none"/>
        </w:rPr>
        <w:t xml:space="preserve">开发</w:t>
      </w:r>
      <w:r>
        <w:rPr>
          <w:rFonts w:hint="eastAsia" w:ascii="宋体" w:hAnsi="宋体" w:cs="宋体"/>
          <w:bCs/>
          <w:color w:val="auto"/>
          <w:szCs w:val="21"/>
          <w:highlight w:val="none"/>
          <w:lang w:val="zh-CN"/>
        </w:rPr>
        <w:t xml:space="preserve">与应用》、《数字财务综合实验》《金融大数据分析挖掘》《数智供应链实验实训平台》等核心课程教学与实践需求</w:t>
      </w:r>
      <w:r>
        <w:rPr>
          <w:rFonts w:hint="eastAsia" w:ascii="宋体" w:hAnsi="宋体" w:cs="宋体"/>
          <w:bCs/>
          <w:color w:val="auto"/>
          <w:szCs w:val="21"/>
          <w:highlight w:val="none"/>
        </w:rPr>
        <w:t xml:space="preserve">的数字化平台，</w:t>
      </w:r>
      <w:r>
        <w:rPr>
          <w:rFonts w:hint="eastAsia" w:ascii="宋体" w:hAnsi="宋体" w:cs="宋体"/>
          <w:bCs/>
          <w:color w:val="auto"/>
          <w:szCs w:val="21"/>
          <w:highlight w:val="none"/>
          <w:lang w:val="zh-CN"/>
        </w:rPr>
        <w:t xml:space="preserve">着力破解传统</w:t>
      </w:r>
      <w:r>
        <w:rPr>
          <w:rFonts w:hint="eastAsia" w:ascii="宋体" w:hAnsi="宋体" w:cs="宋体"/>
          <w:bCs/>
          <w:color w:val="auto"/>
          <w:szCs w:val="21"/>
          <w:highlight w:val="none"/>
        </w:rPr>
        <w:t xml:space="preserve">财经</w:t>
      </w:r>
      <w:r>
        <w:rPr>
          <w:rFonts w:hint="eastAsia" w:ascii="宋体" w:hAnsi="宋体" w:cs="宋体"/>
          <w:bCs/>
          <w:color w:val="auto"/>
          <w:szCs w:val="21"/>
          <w:highlight w:val="none"/>
          <w:lang w:val="zh-CN"/>
        </w:rPr>
        <w:t xml:space="preserve">教育中技术应用能力培养不足</w:t>
      </w:r>
      <w:r>
        <w:rPr>
          <w:rFonts w:hint="eastAsia" w:ascii="宋体" w:hAnsi="宋体" w:cs="宋体"/>
          <w:bCs/>
          <w:color w:val="auto"/>
          <w:szCs w:val="21"/>
          <w:highlight w:val="none"/>
        </w:rPr>
        <w:t xml:space="preserve">等</w:t>
      </w:r>
      <w:r>
        <w:rPr>
          <w:rFonts w:hint="eastAsia" w:ascii="宋体" w:hAnsi="宋体" w:cs="宋体"/>
          <w:bCs/>
          <w:color w:val="auto"/>
          <w:szCs w:val="21"/>
          <w:highlight w:val="none"/>
          <w:lang w:val="zh-CN"/>
        </w:rPr>
        <w:t xml:space="preserve">痛点问题，致力于培养既精通财会专业知识，又掌握智能技术应用能力</w:t>
      </w:r>
      <w:r>
        <w:rPr>
          <w:rFonts w:hint="eastAsia" w:ascii="宋体" w:hAnsi="宋体" w:cs="宋体"/>
          <w:bCs/>
          <w:color w:val="auto"/>
          <w:szCs w:val="21"/>
          <w:highlight w:val="none"/>
        </w:rPr>
        <w:t xml:space="preserve">的复合型人才，使学生能够熟练运用智能化工具解决企业财务管理中的实际问题，为数字经济时代培养适应产业转型升级的高素质财经人才。</w:t>
      </w:r>
      <w:r/>
    </w:p>
    <w:p>
      <w:pPr>
        <w:numPr>
          <w:ilvl w:val="0"/>
          <w:numId w:val="2"/>
        </w:num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项目主要内容：</w:t>
      </w:r>
      <w:r/>
    </w:p>
    <w:p>
      <w:pPr>
        <w:ind w:left="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（一）采购</w:t>
      </w:r>
      <w:r>
        <w:rPr>
          <w:rFonts w:hint="eastAsia" w:ascii="宋体" w:hAnsi="宋体" w:cs="宋体"/>
          <w:b/>
          <w:color w:val="auto"/>
          <w:szCs w:val="21"/>
          <w:highlight w:val="none"/>
          <w:lang w:val="zh-CN"/>
        </w:rPr>
        <w:t xml:space="preserve">内容清单</w:t>
      </w:r>
      <w:r/>
    </w:p>
    <w:tbl>
      <w:tblPr>
        <w:tblStyle w:val="877"/>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1243"/>
        <w:gridCol w:w="3350"/>
        <w:gridCol w:w="4080"/>
      </w:tblGrid>
      <w:tr>
        <w:trPr>
          <w:jc w:val="center"/>
          <w:tblHeader/>
        </w:trPr>
        <w:tc>
          <w:tcPr>
            <w:shd w:val="clear" w:color="auto" w:fill="ffffff"/>
            <w:tcW w:w="1243"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shd w:val="clear" w:color="auto" w:fill="ffffff"/>
            <w:tcBorders>
              <w:right w:val="single" w:color="auto" w:sz="4" w:space="0"/>
            </w:tcBorders>
            <w:tcW w:w="3350"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平台名称</w:t>
            </w:r>
            <w:r/>
          </w:p>
        </w:tc>
        <w:tc>
          <w:tcPr>
            <w:shd w:val="clear" w:color="auto" w:fill="ffffff"/>
            <w:tcBorders>
              <w:right w:val="single" w:color="auto" w:sz="4" w:space="0"/>
            </w:tcBorders>
            <w:tcW w:w="4080" w:type="dxa"/>
            <w:vAlign w:val="center"/>
            <w:textDirection w:val="lrTb"/>
            <w:noWrap w:val="false"/>
          </w:tcPr>
          <w:p>
            <w:pPr>
              <w:jc w:val="center"/>
              <w:widowControl/>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系统</w:t>
            </w:r>
            <w:r/>
          </w:p>
        </w:tc>
      </w:tr>
      <w:tr>
        <w:trPr>
          <w:jc w:val="center"/>
        </w:trPr>
        <w:tc>
          <w:tcPr>
            <w:shd w:val="clear" w:color="auto" w:fill="ffffff"/>
            <w:tcW w:w="1243"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right w:val="single" w:color="auto" w:sz="4" w:space="0"/>
            </w:tcBorders>
            <w:tcW w:w="3350"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数字财务实验平台</w:t>
            </w:r>
            <w:r/>
          </w:p>
        </w:tc>
        <w:tc>
          <w:tcPr>
            <w:shd w:val="clear" w:color="auto" w:fill="ffffff"/>
            <w:tcBorders>
              <w:right w:val="single" w:color="auto" w:sz="4" w:space="0"/>
            </w:tcBorders>
            <w:tcW w:w="4080"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数字商科实验中心智慧管理系统</w:t>
            </w:r>
            <w:r/>
          </w:p>
        </w:tc>
      </w:tr>
      <w:tr>
        <w:trPr>
          <w:jc w:val="center"/>
        </w:trPr>
        <w:tc>
          <w:tcPr>
            <w:shd w:val="clear" w:color="auto" w:fill="ffffff"/>
            <w:tcW w:w="1243"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right w:val="single" w:color="auto" w:sz="4" w:space="0"/>
            </w:tcBorders>
            <w:tcW w:w="3350"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right w:val="single" w:color="auto" w:sz="4" w:space="0"/>
            </w:tcBorders>
            <w:tcW w:w="4080"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AI财务大数据分析实验系统</w:t>
            </w:r>
            <w:r/>
          </w:p>
        </w:tc>
      </w:tr>
      <w:tr>
        <w:trPr>
          <w:jc w:val="center"/>
        </w:trPr>
        <w:tc>
          <w:tcPr>
            <w:shd w:val="clear" w:color="auto" w:fill="ffffff"/>
            <w:tcW w:w="1243"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shd w:val="clear" w:color="auto" w:fill="ffffff"/>
            <w:tcBorders>
              <w:right w:val="single" w:color="auto" w:sz="4" w:space="0"/>
            </w:tcBorders>
            <w:tcW w:w="3350"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量化投资交易实验平台</w:t>
            </w:r>
            <w:r/>
          </w:p>
        </w:tc>
        <w:tc>
          <w:tcPr>
            <w:shd w:val="clear" w:color="auto" w:fill="ffffff"/>
            <w:tcBorders>
              <w:right w:val="single" w:color="auto" w:sz="4" w:space="0"/>
            </w:tcBorders>
            <w:tcW w:w="4080"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数字财务综合实验系统</w:t>
            </w:r>
            <w:r/>
          </w:p>
        </w:tc>
      </w:tr>
      <w:tr>
        <w:trPr>
          <w:jc w:val="center"/>
        </w:trPr>
        <w:tc>
          <w:tcPr>
            <w:shd w:val="clear" w:color="auto" w:fill="ffffff"/>
            <w:tcW w:w="1243"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p>
        </w:tc>
        <w:tc>
          <w:tcPr>
            <w:shd w:val="clear" w:color="auto" w:fill="ffffff"/>
            <w:tcBorders>
              <w:right w:val="single" w:color="auto" w:sz="4" w:space="0"/>
            </w:tcBorders>
            <w:tcW w:w="3350"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right w:val="single" w:color="auto" w:sz="4" w:space="0"/>
            </w:tcBorders>
            <w:tcW w:w="4080"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金融大数据分析挖掘系统</w:t>
            </w:r>
            <w:r/>
          </w:p>
        </w:tc>
      </w:tr>
      <w:tr>
        <w:trPr>
          <w:jc w:val="center"/>
        </w:trPr>
        <w:tc>
          <w:tcPr>
            <w:shd w:val="clear" w:color="auto" w:fill="ffffff"/>
            <w:tcW w:w="1243"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p>
        </w:tc>
        <w:tc>
          <w:tcPr>
            <w:shd w:val="clear" w:color="auto" w:fill="ffffff"/>
            <w:tcBorders>
              <w:right w:val="single" w:color="auto" w:sz="4" w:space="0"/>
            </w:tcBorders>
            <w:tcW w:w="3350" w:type="dxa"/>
            <w:vAlign w:val="center"/>
            <w:vMerge w:val="restart"/>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数字经济智能对抗实验平台</w:t>
            </w:r>
            <w:r/>
          </w:p>
        </w:tc>
        <w:tc>
          <w:tcPr>
            <w:shd w:val="clear" w:color="auto" w:fill="ffffff"/>
            <w:tcBorders>
              <w:right w:val="single" w:color="auto" w:sz="4" w:space="0"/>
            </w:tcBorders>
            <w:tcW w:w="4080"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数智供应链实验实训系统</w:t>
            </w:r>
            <w:r/>
          </w:p>
        </w:tc>
      </w:tr>
      <w:tr>
        <w:trPr>
          <w:jc w:val="center"/>
        </w:trPr>
        <w:tc>
          <w:tcPr>
            <w:shd w:val="clear" w:color="auto" w:fill="ffffff"/>
            <w:tcW w:w="1243"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p>
        </w:tc>
        <w:tc>
          <w:tcPr>
            <w:shd w:val="clear" w:color="auto" w:fill="ffffff"/>
            <w:tcBorders>
              <w:right w:val="single" w:color="auto" w:sz="4" w:space="0"/>
            </w:tcBorders>
            <w:tcW w:w="3350" w:type="dxa"/>
            <w:vAlign w:val="center"/>
            <w:vMerge w:val="continue"/>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ffffff"/>
            <w:tcBorders>
              <w:right w:val="single" w:color="auto" w:sz="4" w:space="0"/>
            </w:tcBorders>
            <w:tcW w:w="4080"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数字RPA智能财务机器人系统</w:t>
            </w:r>
            <w:r/>
          </w:p>
        </w:tc>
      </w:tr>
    </w:tbl>
    <w:p>
      <w:pPr>
        <w:ind w:left="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注：（1）本项目不接受进口产品投标。</w:t>
      </w:r>
      <w:r/>
    </w:p>
    <w:p>
      <w:pPr>
        <w:ind w:left="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（2）本项目核心产品：（数字财务综合实验系统）</w:t>
      </w:r>
      <w:r/>
    </w:p>
    <w:p>
      <w:pPr>
        <w:ind w:left="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（二）技术参数</w:t>
      </w:r>
      <w:r>
        <w:rPr>
          <w:rFonts w:hint="eastAsia" w:ascii="宋体" w:hAnsi="宋体" w:cs="宋体"/>
          <w:b/>
          <w:color w:val="auto"/>
          <w:szCs w:val="21"/>
          <w:highlight w:val="none"/>
          <w:lang w:val="zh-CN"/>
        </w:rPr>
        <w:t xml:space="preserve">要求</w:t>
      </w:r>
      <w:r/>
    </w:p>
    <w:tbl>
      <w:tblPr>
        <w:tblStyle w:val="908"/>
        <w:tblW w:w="0" w:type="auto"/>
        <w:tblInd w:w="3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1000"/>
        <w:gridCol w:w="7183"/>
      </w:tblGrid>
      <w:t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技术参数、指标要求</w:t>
            </w:r>
            <w:r/>
          </w:p>
        </w:tc>
      </w:tr>
      <w:tr>
        <w:trPr>
          <w:trHeight w:val="9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数字商科实验中心智慧管理系统</w:t>
            </w:r>
            <w:r/>
          </w:p>
        </w:tc>
        <w:tc>
          <w:tcPr>
            <w:tcBorders>
              <w:top w:val="single" w:color="000000" w:sz="4" w:space="0"/>
              <w:left w:val="single" w:color="000000" w:sz="4" w:space="0"/>
              <w:bottom w:val="single" w:color="000000" w:sz="4" w:space="0"/>
              <w:right w:val="single" w:color="000000" w:sz="4" w:space="0"/>
            </w:tcBorders>
            <w:tcW w:w="718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（一）教学管理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平台首页个性化仪表盘：平台应可根据教师使用习惯个性化配置快捷操作入口，集成实验看板可视化工具，实现实验进程的可视化监控与即时调控，提供灵活的开关控制机制，支持教师按需定制首页功能布局。</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2、教师管理：平台应支持管理员享有高级权限，可以创建管理课程教师信息，可对教师功能和课程授权精细化管理。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3、行政班级管理：平台应支持以行政班级为单位，快速新增或批量导入学生信息，实现学生基础数据的全面维护与管理；人工新增学生信息时，支持高效批量创建学生账号。</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4、教学班级管理：平台应支持按照课程创建教学班级，引入协同教学模式，允许多位教师共同参与教学班级的基本信息与任务管理。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5、课程管理：平台应支持实现课程个性化分类与精细化管理；应提供二次开发的功能，支持教师创建个人的课程资源。</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知识图谱：平台应支持集成先进知识图谱技术，为每门课程构建全面知识框架，帮助教师全面且深入地理解课程知识结构框架，辨识知识点间的内在联系与逻辑递进层次，为制定教学计划及创新教学活动提供坚实的科学依据。</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平台应具备案例设计模板库，涵盖至少八大精选模板类别，包括富文本模板、场景模板、客观题模板、泳道图模板、数据3D透视模板、多功能教学创作模板、数字化工具通用模板、微调大模型模版等。其中，富文本模板支持快速排版图文、课件、设置超链接；场景模板支持角色对话情景教学，支持自定义场景图片、职位、角色、角</w:t>
            </w:r>
            <w:r>
              <w:rPr>
                <w:rFonts w:hint="eastAsia" w:ascii="宋体" w:hAnsi="宋体" w:cs="宋体"/>
                <w:color w:val="auto"/>
                <w:szCs w:val="21"/>
                <w:highlight w:val="none"/>
              </w:rPr>
              <w:t xml:space="preserve">色发言；泳道图模板支持拖拽式流程设计，实现自定义任务流程；数据3D透视模板支持货位优化等多场景3D交互，支持设置任务描述图文上传附件、设置超链接，支持开启学生规划结果上传功能；多功能教学创作模板支持设置任务描述图文上传附件、支持开启学生图片结果上传、开启作品社区，同时还支持视觉子模板设计，涵盖图文设计、H5设计、网店设计；数字化工具通用模板为综合工具集，涵盖内置数据可视化工具、BI互动决策、BI作品上传、Python引导式编程、Python自主编程、SQL代码、Excel下载答题、报告题，全面支撑实训任务。</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平台应支持提供微调大模型模版和完整的大语言模型微调过程；可自主选择基础模型。且应提供标准语料数据，同时支持上传自定义语料；支持用户配置学习率、训练轮数、微调方法等关键训练参数，生成个性化微调模型的完整流程；集成模型对话测试功能，用户可对微调后的模型进行实时对话验证，评估模型效果。用户可自主切换真实微调与模拟微调模式。</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实验安排：平台应支持灵活组织课堂教学实验和案例练习，课堂实验可以结合教学进度和课堂需求分模块和功能开放；教师享有实验管理自主权，可实现实验的提前关闭或延期调整；支持教师设置自评互评，通过划分每组人数、自评、互评、教师评分数占比以及起止时间，实现主观题评分多样化。</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（5）实验看板：平台应支持通过可视化图像实时展现学生的实验情况，方便教师对日常实验全过程进行把控，同时可通过详细数据信息一键触达。</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6、试题中心：平台应支持根据课程知识图谱知识点内置标准题作为教师用于课程知识考核的组卷资源；内置丰富多样的标准试题资源，涵盖单选、多选、不定项、判断、填空、问答和综合题等多种题型，同时支持上传包含图片信息的题干和选项；填空题支持多个空格位置互换识别判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7、试卷管理：平台应提供高度灵活的试卷创建与配置功能，支持技能题、理论题以及技能+理论三种多样化组卷方式，理论题组卷支持根据考核范围与题目数量智能筛选，人工选题支持系统内置资源选题，同时支持教师上传试题资源，方便教师快速导入自己命题的试卷，满足个性化命题需求。</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8、考试安排：平台应支持考试模式用于课程考核和学科竞赛，考前支持详尽的考核信息与评分规则设置，包括但不限于考试内容、时长、漏选/答错扣分规则及人工评分隐私保护等，确保考试公平公正。考试过程中，提供灵活的考试管理功能，如禁考控制、考试时间调整等，以应对突发情况，保障考试顺利进行。</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9、课堂演示：平台应提供课堂演示功能，支持教师以学生实训视角进入案例演示场景，同时提供教学白版和演示答案导入方便教师进行课程备课或课堂教学。</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10、课堂任务布置：平台需支持从试题中心中随机抽取题目发布课堂任务，学生通过扫描二维码即可参与答题。系统自动统计并展示学生参与率与题目正确率，帮助教师即时掌握学情。</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11、成绩管理：平台应支持可以查看学生实验和考试的成绩结果，并提供学习画像功能对考核结果进行深度可视化分析呈现，同时提供学习档案可以快速查找某个同学的学习成果。</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（1）实验成绩及考试成绩：平台应支持查看学生的实验、考试成绩同时提供人工评分入口，教师可以通过人工评分功能对学生答卷进行对错判断、文字标注及题目点评。</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学习画像：平台应支持根据学生成绩对学生学习结果进行可视化分析，从班级整体得分情况、数字化工具应用情况、题目掌握程度等多个维度进行分析，助力教师深入了解每位学生的学习特点与需求，实施差异化教学。</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（3）一站式学习档案管理：平台应支持快速查阅班级内任意课程学生的学习成果，同时支持下载备案，确保学习数据的完整性与安全性。</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12、数据中心：平台应支持实施严格的数据备份与恢复策略，系统采用自动化机制定期执行全面数据备份，确保数据安全性与完整性。支持管理员对系统的某个课程或者整个系统进行数据还原，有效抵御外部因素导致的数据丢失风险。</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13、平台应支持可以个性化按专业增加分中心，例如：数字会计中心、数字金融中心、数字贸易中心等。</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14、平台应支持对实验课程、实验教材、数字案例等教学资源进行在线管理及资源共享等。</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15、平台应支持数字案例管理模块实现案例的分类、录入、关联、共享与评价管理。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16、平台应支持项目发布、申报、资格审查、评审、复审、综合查询及结项、成果共享等全流程数字化管理。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（二）学生端</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1、平台需集“学、练、考、评”四大功能于一体，构建起一个全方位、立体化的学习生态体系。</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2、平台需支持教师为小组主观题开启自评与互评。功能开启后，学生可在组内进行互评和自评。</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3、平台需具备考试通知功能，可向学生提供完整的考试信息。包括考试的起止时间、时长、允许进入时间、参与的班级以及考试入口。</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4、平台应采用项目导向型学习模式，将知识准备、知识考察、课堂实训、拓展实训等关键环节有机融合，形成理论与实践并重的教学闭环。</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平台应支持集成Python编程、可视化工具、Excel应用、BI数据分析在内的多种数据分析工具，并能提供详尽的操作指南与参考答案，助力学生快速掌握数据分析技能。特别是Excel运用部分，平台应支持上传作答文件并智能评分，能为学生提供即时下载改卷结果、查看作答详情的功能，系统还会高亮显示错误位置。</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6、平台应支持Python工具提供多种考核方式，学生可根据编程需求，在Python工具的“技术需求转化”中按导向提示，完成内置脚本代码的补充，也可直接在“需求实现”模块，通过自主编写代码的模式，实现编程。执行完毕后，平台能通过“执行并显示结果”模块，以图片、文档（包括但不限于PDF、Word等）等多元化、高清晰度的形式，直观呈现分析结果，并配有对应的下载功能。</w:t>
            </w:r>
            <w:r/>
          </w:p>
          <w:p>
            <w:pPr>
              <w:rPr>
                <w:rFonts w:hint="eastAsia" w:ascii="宋体" w:hAnsi="宋体" w:cs="宋体"/>
                <w:b/>
                <w:bCs/>
                <w:color w:val="auto"/>
                <w:szCs w:val="21"/>
                <w:highlight w:val="none"/>
              </w:rPr>
            </w:pPr>
            <w:r>
              <w:rPr>
                <w:rFonts w:hint="eastAsia" w:ascii="宋体" w:hAnsi="宋体" w:cs="宋体"/>
                <w:color w:val="auto"/>
                <w:szCs w:val="21"/>
                <w:highlight w:val="none"/>
              </w:rPr>
              <w:t xml:space="preserve">7、平台应支持通过业务清单-产业流程-任务描述三个模块实现业务导航。平台基于多平台业务数据，构建整体业务清单，以业务日期为主线，依次呈现每笔业务的任务标题、所属岗位、关联平台。用户选中具体业务后，平台应支持自动快速定位该业务在整体产业流程中的位置，清晰标识其所属环节，并支持查看任务详情描述，亦可通过“进入实训”按钮一键跳转至对应实训平台进行操作。</w:t>
            </w:r>
            <w:r>
              <w:rPr>
                <w:rFonts w:hint="eastAsia" w:ascii="宋体" w:hAnsi="宋体" w:cs="宋体"/>
                <w:b/>
                <w:bCs/>
                <w:color w:val="auto"/>
                <w:szCs w:val="21"/>
                <w:highlight w:val="none"/>
              </w:rPr>
              <w:t xml:space="preserve">（提供软件功能截图）</w:t>
            </w:r>
            <w:r/>
          </w:p>
          <w:p>
            <w:pPr>
              <w:rPr>
                <w:rFonts w:hint="eastAsia" w:ascii="宋体" w:hAnsi="宋体" w:cs="宋体"/>
                <w:b/>
                <w:bCs/>
                <w:color w:val="auto"/>
                <w:szCs w:val="21"/>
                <w:highlight w:val="none"/>
              </w:rPr>
            </w:pPr>
            <w:r>
              <w:rPr>
                <w:rFonts w:hint="eastAsia" w:ascii="宋体" w:hAnsi="宋体" w:cs="宋体"/>
                <w:color w:val="auto"/>
                <w:szCs w:val="21"/>
                <w:highlight w:val="none"/>
              </w:rPr>
              <w:t xml:space="preserve">8、平台应支持提供一站式的跨平台业务全景视图，通过清晰的产业流程图，将ERP、云财税、商科决策系统、税收申报、仓储配送系统等各平台有机串联，完整呈现综合案例的业务逻辑，帮助用户直观理解完整的业务逻辑。用户选择任一业务实训，平台应支持透视其在产业全局中的位置，整个流程图应支持根据院校的特定教学需求进行灵活定制。</w:t>
            </w:r>
            <w:r>
              <w:rPr>
                <w:rFonts w:hint="eastAsia" w:ascii="宋体" w:hAnsi="宋体" w:cs="宋体"/>
                <w:b/>
                <w:bCs/>
                <w:color w:val="auto"/>
                <w:szCs w:val="21"/>
                <w:highlight w:val="none"/>
              </w:rPr>
              <w:t xml:space="preserve">（提供软件功能截图）</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9、平台应支持业务全链路呈现，具体支持从风险评估-战略规划-各职能部门反馈战略目标-营销部门接单流程-生产部门规划生产流程-采购部门采购物资流程-车间作业流程-产品质检流程-产品入库流程-产品销售出库流程-财务凭证全流程贯穿，实时展示业务上下游关联关系，实现从订货、采购、生产、品质检查、仓库管理、交货、收款、售后等完备的供应链管理体系。</w:t>
            </w:r>
            <w:r/>
          </w:p>
          <w:p>
            <w:pPr>
              <w:rPr>
                <w:rFonts w:hint="eastAsia" w:ascii="宋体" w:hAnsi="宋体" w:cs="宋体"/>
                <w:b/>
                <w:bCs/>
                <w:color w:val="auto"/>
                <w:szCs w:val="21"/>
                <w:highlight w:val="none"/>
              </w:rPr>
            </w:pPr>
            <w:r>
              <w:rPr>
                <w:rFonts w:hint="eastAsia" w:ascii="宋体" w:hAnsi="宋体" w:cs="宋体"/>
                <w:color w:val="auto"/>
                <w:szCs w:val="21"/>
                <w:highlight w:val="none"/>
              </w:rPr>
              <w:t xml:space="preserve">10、平台应支持全场景跨部门3D展示，当学生通过点击地图上的企业，进入财务部、采购部、仓储部、市场部办公室场景时，平台应支持采用全景图形式展示，并支持鼠标拖动360度旋转浏览。场景中可点击的工位电脑会有手指跳动+光圈呼吸闪烁动画，引导学生点击进入业务。</w:t>
            </w:r>
            <w:r>
              <w:rPr>
                <w:rFonts w:hint="eastAsia" w:ascii="宋体" w:hAnsi="宋体" w:cs="宋体"/>
                <w:b/>
                <w:bCs/>
                <w:color w:val="auto"/>
                <w:szCs w:val="21"/>
                <w:highlight w:val="none"/>
              </w:rPr>
              <w:t xml:space="preserve">（提供软件功能截图）</w:t>
            </w:r>
            <w:r/>
          </w:p>
          <w:p>
            <w:pPr>
              <w:rPr>
                <w:rFonts w:hint="eastAsia" w:ascii="宋体" w:hAnsi="宋体" w:cs="宋体"/>
                <w:b/>
                <w:bCs/>
                <w:color w:val="auto"/>
                <w:szCs w:val="21"/>
                <w:highlight w:val="none"/>
              </w:rPr>
            </w:pPr>
            <w:r>
              <w:rPr>
                <w:rFonts w:hint="eastAsia" w:ascii="宋体" w:hAnsi="宋体" w:cs="宋体"/>
                <w:color w:val="auto"/>
                <w:szCs w:val="21"/>
                <w:highlight w:val="none"/>
              </w:rPr>
              <w:t xml:space="preserve">11、平台应支持以产业园区的形式呈现不同行业的特色，如：物流园、农业产业、服装行业、智能制造等企业，可辐射管理会计、成本会计、物流成本核算与管理、电商数据分析、业财融合等商科课程的实训。</w:t>
            </w:r>
            <w:r>
              <w:rPr>
                <w:rFonts w:hint="eastAsia" w:ascii="宋体" w:hAnsi="宋体" w:cs="宋体"/>
                <w:b/>
                <w:bCs/>
                <w:color w:val="auto"/>
                <w:szCs w:val="21"/>
                <w:highlight w:val="none"/>
              </w:rPr>
              <w:t xml:space="preserve">（提供软件功能截图）</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（三）AI辅助</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智能评分。平台需提供AI技术，根据教师预设的参考答案与评分规则，对学生问答题进行精准、高效地评分，并详细展示评分过程与依据。AI评分支持简单题型和复杂题型，简单题型为单一题干对应单一问题，复杂题型为单一题干对应多个子问题，对每个子问题进行独立评分，并汇总形成最终成绩，确保评分的全面性与准确性。</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智能助学。平台需提供基于大语言模型、知识库、智能体的多模式智能问答；提供问答收藏、分享、点赞功能；提供历史对话分析，生成词云图和词频统计数据；提供定制AI助学角色、性别、回答问题方式、个性；提供个人学情分析，平台能通过分析学习数据，生成学习进度与知识点掌握情况，提出个性化建议；提供用户问题优化精灵，对用户输入的问题进行智能分析和优化，提供十个参考问题，从而提升AI助学的回答质量和交互体验。</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）云服务器</w:t>
            </w:r>
            <w:r>
              <w:rPr>
                <w:rFonts w:hint="eastAsia" w:ascii="宋体" w:hAnsi="宋体" w:cs="宋体"/>
                <w:color w:val="auto"/>
                <w:szCs w:val="21"/>
                <w:highlight w:val="none"/>
              </w:rPr>
              <w:t xml:space="preserve">及数据对接服务</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提供运维质保期为五年，五年内同版本产品提供免费升级服务；服务内容包括安装、调试、培训、维护、远程咨询和远程处理问题等。根据用户要求，五年内根据使用情况，提供内容定制更新服务，支持用户进行内容更新和完善。</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提供永久云服务器线上服务，也可根据用户需求进行本地化部署。</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提供云服务器安全服务，阻拦病毒及网络攻击，保证软件安全运行。</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提供硬盘快照服务，数据损坏可还原至一周前的数据。</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根据用户要求，支持提供用户登录与招标方资源平台对接功能，提供API等对接接口。</w:t>
            </w:r>
            <w:r/>
          </w:p>
        </w:tc>
      </w:tr>
      <w:tr>
        <w:trPr>
          <w:trHeight w:val="1094"/>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AI财务大数据分析实验系统</w:t>
            </w:r>
            <w:r/>
          </w:p>
        </w:tc>
        <w:tc>
          <w:tcPr>
            <w:tcBorders>
              <w:top w:val="single" w:color="000000" w:sz="4" w:space="0"/>
              <w:left w:val="single" w:color="000000" w:sz="4" w:space="0"/>
              <w:bottom w:val="single" w:color="000000" w:sz="4" w:space="0"/>
              <w:right w:val="single" w:color="000000" w:sz="4" w:space="0"/>
            </w:tcBorders>
            <w:tcW w:w="718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（一）技术参数</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1、运行操作系统：平台应支持统信、麒麟等国产操作系统，同时兼容windows、Linux登操作系统，确保信息安全。</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2、B/S架构：平台采用B/S架构，用户通过浏览器访问平台，无需安装任何插件，方便安装和维护。</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3、基础开发技术开源：平台使用的python、vue3+Element UI、MySQL、MongoDB、Loki、Redis均为开源，避免被人为技术控制导致平台信息泄漏与崩溃。</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4、web安全：遵守信息技术安全规范，防弱口令、SQL注入等攻击。</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5、数据保护：应采用数据签名技术，确保数据传输过程中的安全，防止篡改。</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6、异步数据交互：应支持通过JSON与AJAX技术实现高效数据交换，网页能在无需刷新的情况下动态加载、发送与接收数据，满足实时性需求。</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7、需能够实时保存学生数据，最大限度降低数据丢失的风险。</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8、多层架构：平台应采用多层架构，各层职责分明，减少耦合，提升可扩展、可维护性。</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9、弹性数据库管理：数据库设计应支持读写分离，可弹性伸缩数据库实例，集成Redis缓存数据库，显著增强并发处理能力，确保在高流量下也能提供流畅体验。</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10、平台应支持课程实训和课程考试两种模式。考试开启后，在设定的时间内学生只能登录考试，提前登录实训的学生将被强制下线，预防考试作弊，确保考试的公正、有效和质量。</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11、平台应集数据可视化技术实训、全面考核与即时自动评分于一体，引领学习体验新高度。</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12、平台应能够对接Power BI报表服务器，允许用户在平台内部上传Power BI可视化文件，平台内所有授权用户均可以浏览。</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13、自主研发防作弊服务，应支持在考试时候，实时监控学生的行为并进行分析，防止出现替考行为，确保考试的公平性。</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14、应具备数据恢复与备份功能。程序可根据用户需求进行自动备份，包括系统的操作信息及数据信息。在出现误操作或非可抗力情况导致丢失数据，用户可使用改功能进行数据恢复，用户还可根据更加细致的需求，单独恢复系统中的某个产品的数据。</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（二）平台参数</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1、平台首页个性化仪表盘：平台应支持教师根据使用习惯个性化配置快捷操作入口；应集成实验看板可视化工具，供教师实时监控与调控实验进程；应提供灵活的开关控制，支持教师按需定制首页功能布局。</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2、平台教学管理功能应涵盖：教师管理、班级管理、课程管理、试题中心、考试管理、成绩管理等主要模块。</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3、平台教师管理模块：平台应支持管理员创建并管理课程教师信息，应能对教师功能权限与课程授权进行精细化管理。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平台班级管理模块：平台应分为行政班级管理和教学班级管理两部分：行政班级管理模块应支持创建行政班并对班级学生基本信息进行全面维护与管理，应支持逐一、批量或表格导入三种方式添加行政班学生；教学班级管理模块应支持按照课程创建教学班级，应提供协同教学模式，支持多位教师共同参与教学班级的基本信息与任务管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平台课程管理模块：平台应支持课程个性化分类与精细化管理，教师可根据个人需要对课程进行分类并且对课程内容进行管理。课程管理模块下设课程介绍、知识图谱、资源中心、课程中心、实验安排、实验看板、平台管理、课堂任务八部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6、课程介绍功能：平台应支持教师对课程的核心价值、总体目标、课程内容概述等进行编辑，以便师生全面把握课程总纲。</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7、知识图谱功能：平台应提供两种视图模式，在编辑模式下，应呈现为可自由扩展的树状结构，支持用户便捷地增删二级、三级知识节点；退出编辑后，系统应自动将结构转化为可视化的知识图谱，所有节点以球形样式清晰布局于画布之上，并通过连线直观展示其逻辑关联，形成结构一目了然的知识网络。</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8、资源中心功能：平台应深度整合多元化教学资源，结合不同的教学需求分为课程教学、实践(产</w:t>
            </w:r>
            <w:r>
              <w:rPr>
                <w:rFonts w:hint="eastAsia" w:ascii="宋体" w:hAnsi="宋体" w:cs="宋体"/>
                <w:color w:val="auto"/>
                <w:szCs w:val="21"/>
                <w:highlight w:val="none"/>
              </w:rPr>
              <w:t xml:space="preserve">业)案例和拓展学习。课程教学服务于日常教学配套教材技能点开设任务，提供任务选择、任务目标、知识准备、课堂实训、拓展实训、实验资料、数据中心、文件列表功能，支持自由选取单项或多项功能完成任务构建与设置；实践案例服务于综合应用、课程考核及比赛，产业案例服务于地区校企合作设立的特色案例资源，涵盖案例背景、任务选择、任务实训、实验资料、数据中心、文件列表等功能，可根据需要自由选取单项或多项功能，快速完成内容的构建与设置；拓展学习应服务于课程外关联拓展学习资源，支持用户选取富文本模板、场景模板，自由完成内容拓展构建。</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9、资源中心扩展功能：平台应支持实验项目的构建、案例的导入、导出功能，保障案例应用的灵活性与方便性。</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10、课程中心功能：平台应支持自定义已有资源的考核内容和考核占比等，方便教师针对不同班级、年级开展个性化的教学；应提供二次开发的功能，支持教师创建多套个人课程教学资源和编制个人案例。</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11、实验项目构建功能：平台在实验项目构建过程中，应支持设置实验的名称、建议课时等基本信息；应支持实验任务顺序的调整；应支持快捷设置实验任务的分数与进度，实现实验构建的需求与便捷统一。</w:t>
            </w:r>
            <w:r/>
          </w:p>
          <w:p>
            <w:pPr>
              <w:rPr>
                <w:rFonts w:hint="eastAsia" w:ascii="宋体" w:hAnsi="宋体" w:cs="宋体"/>
                <w:b/>
                <w:bCs/>
                <w:color w:val="auto"/>
                <w:szCs w:val="21"/>
                <w:highlight w:val="none"/>
              </w:rPr>
            </w:pPr>
            <w:r>
              <w:rPr>
                <w:rFonts w:hint="eastAsia" w:ascii="宋体" w:hAnsi="宋体" w:cs="宋体"/>
                <w:color w:val="auto"/>
                <w:szCs w:val="21"/>
                <w:highlight w:val="none"/>
              </w:rPr>
              <w:t xml:space="preserve">★12、平台应具备案例设计模板库，应涵盖至少四大精选模板类别，包括富文本模板、场景模板、客观题模板、数字化工具通用模板等。其中，富文本模板应支持快速排版图文、PDF及PPT课件、设置超链接；场景模板应支持角色对话情景教学，支持自定义场景图片、职位、角色、角色发言；客观题模板应支持单选题、多选题、判断题、填空题等多种客观题题型设置；数字化工具通用模板应为综合工具集，涵盖内置BI互动决策、BI作品上传、Python引导式编程、Excel下载答题、报告题，全面支撑实训任务。</w:t>
            </w:r>
            <w:r>
              <w:rPr>
                <w:rFonts w:hint="eastAsia" w:ascii="宋体" w:hAnsi="宋体" w:cs="宋体"/>
                <w:b/>
                <w:bCs/>
                <w:color w:val="auto"/>
                <w:szCs w:val="21"/>
                <w:highlight w:val="none"/>
              </w:rPr>
              <w:t xml:space="preserve">（提供软件功能演示视频）</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13、实验安排功能：平台应支持为课程教学、实践案例、产业案例等不同实验分类创建实验安排。其中，基础设置应支持配置实验名称、实验班级与实验时间；实验设置应支持选取教学资源，并可分项目设置是否启用内容展示、答案展示及操作指引。平台应支持教师提前关闭或延期实验；应支持设置自评与互评，可配置每组人数、自评/互评/教师评分的占比及起止时间。</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14、实验安排演示功能：平台应提供课堂演示功能，支持教师以学生实训模式进入案例演示，同时应提供教学白板和演示答案导入功能，方便教师进行课程备课或课堂教学。</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15、实验看板功能：平台应支持班级选择、实验选择，通过可视化图像实时展现学生的实验情况，涵盖学生在线率、学生完成情况、子任务未答率、实验任务平均时间、实验任务正确率等统计指标，应支持查看与导出各项指标详情，方便老师对日常实验全过程进行把控。</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16、平台管理功能：平台管理应具备报告模版管理，支持构建、启用报告模版，并与实训中的报告题无缝衔接，支持一键引用。</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17、课堂任务功能：平台应支持从试题中心中随机抽取题目发布课堂任务，学生通过扫描二维码即可参与答题。系统应自动统计并展示学生参与率与题目正确率，帮助教师即时掌握学情。</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18、平台试题中心模块：平台应以课程知识图谱作为核心基础，提供用于课程知识考核的标准题组卷资源；应支持内置单选、多选、不定项、判断、填空、问答和综合题等多种题型，同时应支持上传包含图片信息的题干和选项；填空题应支持多个空格位置互换识别判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19、平台考试管理模块应包括试卷管理和考试安排两部分。试卷管理提供高度灵活的试卷创建与配置功能，支持技能题、理论题以及技能+理论三种多样化组卷方式，理论题组卷支持根据考核范围与题目数量智能筛选，人工选题支持系统内置资源选题，同时支持教师上传试题资源，方便教师快速导入自己命题的试卷，满足个性化命题需求。</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20、考试安排应应可用于课程考核和</w:t>
            </w:r>
            <w:r>
              <w:rPr>
                <w:rFonts w:hint="eastAsia" w:ascii="宋体" w:hAnsi="宋体" w:cs="宋体"/>
                <w:color w:val="auto"/>
                <w:szCs w:val="21"/>
                <w:highlight w:val="none"/>
                <w:lang w:val="zh-CN"/>
              </w:rPr>
              <w:t xml:space="preserve">学科竞赛，考前支持详尽的考核信息与评分规则设置，包括但不限于考试内容、时长、漏选/答错扣分规则及人工评分隐私保护等，确保考试公平公正。考试过程中，提供灵活的考试管理功能，如禁考控制、考试时间调整等，以应对突发情况，保障考试顺利进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21、平台成绩管理模块</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包括实验成绩、考试成绩、学生画像和学生档案四部分。实验成绩及考试成绩支持查看学生实验和考试的答题情况与成绩导出，协助教师全方位跟踪学生实验进度、完成以及得分情况；同时提供人工评分入口，老师可以通过人工评分功能对学生答卷进行对错判断、文字标注及题目点评；支持成绩归档，方便学校进行成绩存档与管理。</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22、学习画像</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支持通过可视化综合仪表盘分析学生实训或竞赛情况，提供不同区间得分人数汇总、学生成绩分析、参与学生人数、最高分、最低分、学生平均分、学生平均完成进度、学生工具应用情况、正确率前5试题、错误率前5试题、学生实训时长分析、各任务学生答题情况，从班级整体得分情况、数字化工具应用情况、题目掌握程度等多个维度进行分析与评估学生学习成果；实现学生和教师双视野进行教学成果诊断。</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23、学习档案</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支持快速查阅班级内任意课程学生的学习成果，同时支持下载备案，确保学习数据的完整性与安全性。</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集“学、练、考、评”四大功能于一体，构建起一个全方位、立体化的学习生态体系。</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25、平台需具备考试通知功能，可向学生推送完整的考试信息。包括考试的起止时间、时长、允许进入时间、参与的班级以及考试入口。</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26、采用项目导向型学习模式，将知识准备、知识考察、课堂实训、拓展实训等关键环节有机融合，形成理论与实践并重的教学闭环。</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27、平台打破传统财务分析数据孤岛型的弊端，需提供财务分析、业财分析数据源，实现数据快速共享，打破数据壁垒。平台应提供不少于50个业财融合分析数据源文件，涵盖上千条包括但不限于财务报表、销售业务数据等业财融合数据，实现以核算场景为基础向业务场景为核心的转换。</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28、平台财务分析不再仅立足于企业内部的财务数据，平台数据中心需整合行业不少于100家企业的结构化与非结构化数据，包含但不限于各企业连续5年的经营情况、财务分析情况，业绩经营报告等，实现从经营角度、财务角度等多维度获取同行业竞争对手的信息；同时应涵盖不少于50条外部业务信息，满足业务决策分析需求。</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29、平台需内嵌Python开发环境，可直接通过浏览器使用平台内部Python开发环境，并且内置Request,Json,Numpy,Pandas,Matplotlib,Scikit-learn等财务工作常用工具库，基于典型业财分析场景，满足财务大数据采集、处理、可视化、挖掘与分析需求，实现Python与财务分析紧密结合。</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30、平台需提供四种Python考核呈现方式：第一，参数考核模式，学生根据采集需求，判断具体需要采集的结构化与非结构数据、采集时间周期等数据字段，借助Python系统，在“技术需求转化”中按导向提示，填写爬取信息，完成内置脚本代码的补充，进行数据源的收集与挖掘，获取所需的数据源；第二，排序考核模式，学生根据采集或分析需求，对Python系统提供的内置分段代码进行顺序判断，通过“</w:t>
            </w:r>
            <w:r>
              <w:rPr>
                <w:rFonts w:hint="eastAsia" w:ascii="宋体" w:hAnsi="宋体" w:cs="宋体"/>
                <w:color w:val="auto"/>
                <w:szCs w:val="21"/>
                <w:highlight w:val="none"/>
                <w:lang w:val="zh-CN"/>
              </w:rPr>
              <w:t xml:space="preserve">程序编码补全”完成分段代码的拼接，以实现数据采集或算法运行；第三，选项考核模式，学生根据采集或分析需求，对Python系统提供的不同选项代码进行判断，在“程序编码补全”处选择正确的代码予以运行，得到所需的数据源或数据分析结果；第四，挖空考核方式，学生根据采集或分析需求，观察Python系统提供的内置脚本代码，在“程序编码补全”处对其中存在空缺代码进行补充，以实现数据采集或算法运行。不同考核模式存在难度差异，可通过不同的考核呈现方式实现对学生Python运用能力层次的识别与追踪。</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31、平台代码执行结果</w:t>
            </w:r>
            <w:r>
              <w:rPr>
                <w:rFonts w:hint="eastAsia" w:ascii="宋体" w:hAnsi="宋体" w:cs="宋体"/>
                <w:color w:val="auto"/>
                <w:szCs w:val="21"/>
                <w:highlight w:val="none"/>
              </w:rPr>
              <w:t xml:space="preserve">应可</w:t>
            </w:r>
            <w:r>
              <w:rPr>
                <w:rFonts w:hint="eastAsia" w:ascii="宋体" w:hAnsi="宋体" w:cs="宋体"/>
                <w:color w:val="auto"/>
                <w:szCs w:val="21"/>
                <w:highlight w:val="none"/>
                <w:lang w:val="zh-CN"/>
              </w:rPr>
              <w:t xml:space="preserve">通过“程序执行结果”模块，以图片、Excel文档等多元化的形式呈现，直观呈现分析结果，并配有对应的下载功能。培养学生运用大数据工具获取、挖掘财务数据的能力，实现财务数据获取的便捷性、科学性与严谨性。</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32、平台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提供三种BI可视化考核呈现方式：第一，直接可视化面板方式，学生通过平台内置的可视化面板进行直接的业财分析与决策；第二，调参可视化面板方式，学生根据业务需求，对内置的可视化面板进行调参，可视化面板将根据学生调参结果智能变动，学生据此进行业财分析与决策；第三，上传可视化面板方式，学生独立构建并上传财务分析可视化面板，以揭示数据之间的关系以及数据的变化趋势。不同考核模式存在难度差异，以丰富的考核方式培养学生运用数据可视化工具分析、统计财务数据以及数据呈现的能力。</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33、平台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提供Excel答题卡上传考核方式，学生通过下载Excel分析表，基于任务内容进行业财数据处理与分析后，支持上传作答文件并智能评分，学生可即时下载改卷结果，查看作答详情，系统还会高亮显示错误位置，帮助学生迅速定位知识盲点，加速学习进程，实现学生自查与教师追踪。</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34、平台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提供编写财务分析报告的功能，要求学生根据自己的分析结果编写财务大数据分析报告，学生可通过“参考模版”引用平台内置报告模板，根据模板要求上传相关的财务分析可视化图片并进行分析决策总结，培养学生财务分析总结表达综合能力。</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35、平台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提供详尽的操作指引与参考答案解析，助力学生快速掌握实验的分析思路到具体操作方法，并同步对学习成果进行检查。</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36、平台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设有实验资料板块。教师依据具体案例的需求，上传相应的实训资料至该模块中。学生端则可直接访问并查看这些资料，以便更好地准备和进行实训操作。</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37、平台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设有文件列表功能，该功能细分为个人与公用两大模块。个人模块专为学生设计，允许学生上传案例所需的数据表，实现个性化资料的管理与存储；而公用模块则由教师主导，用于上传数据表等共享资源，供全体学生查阅与学习，以此促进教学资源的有效共享与利用。</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）AI辅助</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智能评分。</w:t>
            </w:r>
            <w:r>
              <w:rPr>
                <w:rFonts w:hint="eastAsia" w:ascii="宋体" w:hAnsi="宋体" w:cs="宋体"/>
                <w:color w:val="auto"/>
                <w:szCs w:val="21"/>
                <w:highlight w:val="none"/>
              </w:rPr>
              <w:t xml:space="preserve">平台需提供</w:t>
            </w:r>
            <w:r>
              <w:rPr>
                <w:rFonts w:hint="eastAsia" w:ascii="宋体" w:hAnsi="宋体" w:cs="宋体"/>
                <w:color w:val="auto"/>
                <w:szCs w:val="21"/>
                <w:highlight w:val="none"/>
                <w:lang w:val="zh-CN"/>
              </w:rPr>
              <w:t xml:space="preserve">AI技术，根据教师预设的参考答案与评分规则，对学生问答题进行精准、高效地评分，并详</w:t>
            </w:r>
            <w:r>
              <w:rPr>
                <w:rFonts w:hint="eastAsia" w:ascii="宋体" w:hAnsi="宋体" w:cs="宋体"/>
                <w:color w:val="auto"/>
                <w:szCs w:val="21"/>
                <w:highlight w:val="none"/>
                <w:lang w:val="zh-CN"/>
              </w:rPr>
              <w:t xml:space="preserve">细展示评分过程与依据。（1）AI评分支持简单题型和复杂题型，简单题型为单一题干对应单一问题，复杂题型为单一题干对应多个子问题，对每个子问题进行独立评分，并汇总形成最终成绩，确保评分的全面性与准确性。（2）Python代码AI评分：结合题目信息及学生编写的Python代码，利用AI从基础语法、功能实现等角度，对学生编写的Python进行评分，并且给出优化建议及得分原因。（3）SQL代码AI评分：AI对学生编写的SQL语句进行解析，并通过题目信息判断学生编写SQL代码是否符合题目需求，最终给出评分及优化建议。（</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智能助学。</w:t>
            </w:r>
            <w:r>
              <w:rPr>
                <w:rFonts w:hint="eastAsia" w:ascii="宋体" w:hAnsi="宋体" w:cs="宋体"/>
                <w:color w:val="auto"/>
                <w:szCs w:val="21"/>
                <w:highlight w:val="none"/>
              </w:rPr>
              <w:t xml:space="preserve">平台需</w:t>
            </w:r>
            <w:r>
              <w:rPr>
                <w:rFonts w:hint="eastAsia" w:ascii="宋体" w:hAnsi="宋体" w:cs="宋体"/>
                <w:color w:val="auto"/>
                <w:szCs w:val="21"/>
                <w:highlight w:val="none"/>
                <w:lang w:val="zh-CN"/>
              </w:rPr>
              <w:t xml:space="preserve">提供基于大语言模型、知识库、智能体的多模式智能问答；提供问答收藏、分享、点赞功能；提供历史对话分析，生成词云图和词频统计数据；提供定制AI助学角色、性别、回答问题方式、个性；提供个人学情分析，通过分析学习数据，生成学习进度与知识点掌握情况，提出个性化建议；提供用户问题优化精灵，对用户输入的问题进行智能分析和优化，提供十个参考问题，从而提升AI助学的回答质量和交互体验。</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智能助管。</w:t>
            </w:r>
            <w:r>
              <w:rPr>
                <w:rFonts w:hint="eastAsia" w:ascii="宋体" w:hAnsi="宋体" w:cs="宋体"/>
                <w:color w:val="auto"/>
                <w:szCs w:val="21"/>
                <w:highlight w:val="none"/>
              </w:rPr>
              <w:t xml:space="preserve">平台需提供</w:t>
            </w:r>
            <w:r>
              <w:rPr>
                <w:rFonts w:hint="eastAsia" w:ascii="宋体" w:hAnsi="宋体" w:cs="宋体"/>
                <w:color w:val="auto"/>
                <w:szCs w:val="21"/>
                <w:highlight w:val="none"/>
                <w:lang w:val="zh-CN"/>
              </w:rPr>
              <w:t xml:space="preserve">AI算力灵活调度，支持基于开源模型的本地化部署方案，无缝集成云算力服务。提供一站式智能应用搭建解决方案，教师可快速创建、配置专属知识库和智能体，为教学与学习提供定制化服务。提供学情分析查询，根据课程、班级查看某一学生的学习进度与知识点掌握情况以及个性化建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4、智能代码辅助。</w:t>
            </w:r>
            <w:r>
              <w:rPr>
                <w:rFonts w:hint="eastAsia" w:ascii="宋体" w:hAnsi="宋体" w:cs="宋体"/>
                <w:color w:val="auto"/>
                <w:szCs w:val="21"/>
                <w:highlight w:val="none"/>
              </w:rPr>
              <w:t xml:space="preserve">平台需</w:t>
            </w:r>
            <w:r>
              <w:rPr>
                <w:rFonts w:hint="eastAsia" w:ascii="宋体" w:hAnsi="宋体" w:cs="宋体"/>
                <w:color w:val="auto"/>
                <w:szCs w:val="21"/>
                <w:highlight w:val="none"/>
                <w:lang w:val="zh-CN"/>
              </w:rPr>
              <w:t xml:space="preserve">支持自然语言的代码转化，学生可以在此功能中输入所需功能的逻辑信息，AI将识别学生的需求并输出对应的Python代码。支持Python代码解析，学生可以将Python代码输入此功能中，AI会对代码进行分析，为代码添加逻辑注释，分析代码可能存在的漏洞，引导学生理解并优化Python代码。</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）业务参数</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、平台研究案例</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基于典型的新业态行业发展背景，形成以服装制造业为主，超市零售业为辅的内容体系，提供一套完整全面的教学案例，一套综合实践案例，以及一套紧贴前沿产业案例。</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、平台课程教学设计</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采用“任务目标-知识准备-课堂实训”这一教学链。</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、平台课程教学</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聚焦于典型的业财融合商业分析场景，基于“数据采集-数据处理-数据可视化-数据挖掘与分析”的数据分析链条。</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4、平台课程教学引导学生利用Python进行财务大数据分析，</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提供包括数据采集、多种算法分析（线性回归模型、决策树模型、K均值模型、主成分分析模型等）等不少于10个相关任务实操；在Excel工具的基础上，对业财数据进行数据清理、运算、集成等数据处理步骤，提供不少于45个Excel工具在财务分析上的应用任务；借助Excel、Power BI工具实现财务分析的可视化看板，构建不少于35个多维财务分析可视化驾驶舱。</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、平台课程教学基于制造服装企业为原型，</w:t>
            </w:r>
            <w:r>
              <w:rPr>
                <w:rFonts w:hint="eastAsia" w:ascii="宋体" w:hAnsi="宋体" w:cs="宋体"/>
                <w:color w:val="auto"/>
                <w:szCs w:val="21"/>
                <w:highlight w:val="none"/>
              </w:rPr>
              <w:t xml:space="preserve">需支持</w:t>
            </w:r>
            <w:r>
              <w:rPr>
                <w:rFonts w:hint="eastAsia" w:ascii="宋体" w:hAnsi="宋体" w:cs="宋体"/>
                <w:color w:val="auto"/>
                <w:szCs w:val="21"/>
                <w:highlight w:val="none"/>
                <w:lang w:val="zh-CN"/>
              </w:rPr>
              <w:t xml:space="preserve">通过“财务大数据前导-企业竞争环境识别-企业财报状况呈现-企业营销业务挖掘-企业采购业务规划-企业成本费用分析-企业生产规划决策-企业资金状况挖掘-企业投融资决策-企业绩效管理分析-企业前景预测规划-财务分析报告编写”1+11模式的模块内容，在业财融合的思维下，结合大数据工具应用，实现从企业外部到内部、从整体到具体、从财务到业财绩融合、从历史到未来四个方面，全面位、一体化进行大数据财务分析，全面培养学生财务大数据分析能力。</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、财务大数据前导：</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以PPT理论导入的形式引导学生认识财务大数据、把握财务数字化趋势及熟悉财务数据分析技术，初步构建财务大数据知识体系。</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、企业竞争环境识别：以宏观环境为出发点，对行业景气指数等代表性指标进行趋势分析，利用代表性指标判断行业竞争程度，</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借助Python技术基于机器模型算法识别企业在行业中的定位等，初步了解案例企业所处环境以及自身定位。</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、企业财报状况呈现：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从财务分析的起点出发，以企业三大报表为基础，分别从静态与动态角度分析企业资产负债结构、资本结构、利润及费用结构、现金流量情况，结合可视化工具形成分析决策一张屏；在大数据工具辅助下，对比分析企业与行业盈利能力、偿债能力、营运能力、发展能力；基于杜邦分析体系对企业综合能力进行评估，揭示企业财务综合状况，以财务视角洞察企业存在的管理问题。</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、企业营销业务挖掘：</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基于典型的业财融合销售商业场景，结合大数据工具，从销售情况、应收业务、客户情况、销售规划等维度对企业销售业务进行探究，如构建销售BI可视化驾驶舱，监测应收账款订单，对销售效果进行Python模型预测，利用算法规则洞察销售规律，定性与定量分析做出定价决策等，多维度、深度挖掘销售业务情况，做出有效合理的营销决策。</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、企业采购业务规划：</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以采购业务场景为基础，大数据工具为辅，从企业采购结构、应付业务、库存管理、采购成本规划等视角挖掘企业采购业务情况，如构建采购BI可视化驾驶仓，发现采购业务中存在的成本、库存平衡等问题，进一步利用财务模型规划采购成本，评估与筛选合适的采购供应商，对采购业务进行多维度的追踪，帮助企业降本增效。</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1、企业成本费用分析：</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基于管理会计视角，对企业成本、费用进行大数据挖掘分析，如借助可视化追踪成本差异情况、挖掘重点费用异常等，从财务视角为企业降本改善提供合计建议。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2、企业生产规划决策：</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典型的生产运营分析的业务场景，在大数据工具的支持下，从生产结构、生产规划及优化等方向分析企业生产状况，如构建生产可视化驾驶舱识别生产成本、管理不足，基于各种生产规划情景，为企业做出最有利的生产决策，基于有效产出进一步优化生产环节，层层递进为生产运营环节提效。</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3、企业资金状况挖掘：</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针对企业资金状况，结合可视化与相关模型帮助企业了解资金结构，对闲置资金进行规划、最佳现金持有量进行确定，实现企业资金的有效利用与合理规划。</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4、企业投融资决策：</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基于财务管理视角，对企业投融资业务进行探究与规划决策，如对最优资本结构进行确定、资金需求进行预测，通过选择分析净现值、内含报酬率等评价指标，进行投资项目的财务分析决策。</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5、企业绩效管理分析：</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基于业财绩深度融合理念，对员工绩效与企业绩效从单一到整体进行考核分析，采用可视化和相关管理方法对历史绩效进行评估，进一步对未来业绩做管理规划。</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6、企业前景预测规划：</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通过企业历史数据的分析，运用趋势分析法初步预算企业未来的年度经营目标，同时基于外部数据分析获取的企业所处行业环境数据、企业面临风险与机遇评估，对初步确定的年度经营目标进行调整，实现企业最终年度经营目标的确定。</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7、财务分析报告编写：</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基于财务分析结果，将财务语言转换为业务语言，完成企业财务分析报告的编写。</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8、平台课程教学</w:t>
            </w:r>
            <w:r>
              <w:rPr>
                <w:rFonts w:hint="eastAsia" w:ascii="宋体" w:hAnsi="宋体" w:cs="宋体"/>
                <w:color w:val="auto"/>
                <w:szCs w:val="21"/>
                <w:highlight w:val="none"/>
              </w:rPr>
              <w:t xml:space="preserve">应提供</w:t>
            </w:r>
            <w:r>
              <w:rPr>
                <w:rFonts w:hint="eastAsia" w:ascii="宋体" w:hAnsi="宋体" w:cs="宋体"/>
                <w:color w:val="auto"/>
                <w:szCs w:val="21"/>
                <w:highlight w:val="none"/>
                <w:lang w:val="zh-CN"/>
              </w:rPr>
              <w:t xml:space="preserve">“人工智能与财务分析”模块，聚焦于生成式AI与财务分析领域的融合应用。通过“资产负债表智能解读-利润表BI可视化智能搭建-现金流量表报告智能生成-财务能力智能分析-杜邦分析智能对比”五大创新内容板块。</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9、平台综合实践案例</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以零售超市为分析主体，</w:t>
            </w:r>
            <w:r>
              <w:rPr>
                <w:rFonts w:hint="eastAsia" w:ascii="宋体" w:hAnsi="宋体" w:cs="宋体"/>
                <w:color w:val="auto"/>
                <w:szCs w:val="21"/>
                <w:highlight w:val="none"/>
              </w:rPr>
              <w:t xml:space="preserve">至少涵盖</w:t>
            </w:r>
            <w:r>
              <w:rPr>
                <w:rFonts w:hint="eastAsia" w:ascii="宋体" w:hAnsi="宋体" w:cs="宋体"/>
                <w:color w:val="auto"/>
                <w:szCs w:val="21"/>
                <w:highlight w:val="none"/>
                <w:lang w:val="zh-CN"/>
              </w:rPr>
              <w:t xml:space="preserve">22个任务，</w:t>
            </w:r>
            <w:r>
              <w:rPr>
                <w:rFonts w:hint="eastAsia" w:ascii="宋体" w:hAnsi="宋体" w:cs="宋体"/>
                <w:color w:val="auto"/>
                <w:szCs w:val="21"/>
                <w:highlight w:val="none"/>
              </w:rPr>
              <w:t xml:space="preserve">任务应</w:t>
            </w:r>
            <w:r>
              <w:rPr>
                <w:rFonts w:hint="eastAsia" w:ascii="宋体" w:hAnsi="宋体" w:cs="宋体"/>
                <w:color w:val="auto"/>
                <w:szCs w:val="21"/>
                <w:highlight w:val="none"/>
                <w:lang w:val="zh-CN"/>
              </w:rPr>
              <w:t xml:space="preserve">聚焦于如今零售超市面临的一系列复杂的业财挑战，通过大数据技术分析，深入挖掘并揭示企业的业财状况，为企业管理提供科学、准确的业财决策依据。通过综合案例帮助学生在实践中提升财务大数据分析的技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0、平台产业案例围绕服装企业典型的应收账款管理困境，</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融合大数据分析与机器学习技术，实现对客户运营回款风险的精准捕捉，为企业提供了前瞻性的风险防控能力。通过产业案例引导学生构建实际问题的财务大数据分析思维。</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1、平台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特设政策法规与数字话题两大拓展学习模块。政策法规模块旨在引导学生深入理解财务大数据分析领域的政策导向与大趋势；而数字话题模块则通过呈现真实的数字化转型案例，帮助学生洞悉当前数字化转型的应用现状，拓宽思维。</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五</w:t>
            </w:r>
            <w:r>
              <w:rPr>
                <w:rFonts w:hint="eastAsia" w:ascii="宋体" w:hAnsi="宋体" w:cs="宋体"/>
                <w:color w:val="auto"/>
                <w:szCs w:val="21"/>
                <w:highlight w:val="none"/>
                <w:lang w:val="zh-CN"/>
              </w:rPr>
              <w:t xml:space="preserve">）云服务器</w:t>
            </w:r>
            <w:r>
              <w:rPr>
                <w:rFonts w:hint="eastAsia" w:ascii="宋体" w:hAnsi="宋体" w:cs="宋体"/>
                <w:color w:val="auto"/>
                <w:szCs w:val="21"/>
                <w:highlight w:val="none"/>
              </w:rPr>
              <w:t xml:space="preserve">及数据对接服务</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提供运维质保期为五年，五年内同版本产品提供免费升级服务；服务内容包括安装、调试、培训、维护、远程咨询和远程处理问题等。根据用户要求，五年内根据使用情况，提供内容定制更新服务，支持用户进行内容更新和完善。</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提供永久云服务器线上服务，也可根据用户需求进行本地化部署。</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提供云服务器安全服务，阻拦病毒及网络攻击，保证软件安全运行。</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提供硬盘快照服务，数据损坏可还原至一周前的数据。</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根据用户要求，支持提供用户登录与招标方资源平台对接功能，提供API等对接接口。</w:t>
            </w:r>
            <w:r/>
          </w:p>
        </w:tc>
      </w:tr>
      <w:t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数字RPA智能财务机器人系统</w:t>
            </w:r>
            <w:r/>
          </w:p>
        </w:tc>
        <w:tc>
          <w:tcPr>
            <w:tcBorders>
              <w:top w:val="single" w:color="000000" w:sz="4" w:space="0"/>
              <w:left w:val="single" w:color="000000" w:sz="4" w:space="0"/>
              <w:bottom w:val="single" w:color="000000" w:sz="4" w:space="0"/>
              <w:right w:val="single" w:color="000000" w:sz="4" w:space="0"/>
            </w:tcBorders>
            <w:tcW w:w="7183" w:type="dxa"/>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）技术参数</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1、B/S架构：平台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采用B/S架构，用户通过浏览器访问平台，无需安装任何插件。</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2、服务器：应用服务器</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采用IIS，数据库</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采用MySQL，</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支持局域网与云端部署，适应多场景需求。</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3、多层架构：平台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采用多层架构，各层职责分明，减少耦合，提升可扩展、可维护性。</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4、弹性数据库管理：数据库设计</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支持读写分离，可弹性伸缩数据库实例，集成Redis缓存数据库，显著增强并发处理能力，确保在高流量下也能提供流畅体验。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运用文档的图表插件构建项目内知识点之间的关联网络，形成直观的知识体系图谱，支持深度遍历、手动缩放，确保知识点之间的逻辑清晰、层次分明，有效提升学习路径。</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6、平台对每个机器人</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提供练习模式和考试模式，练习模式下学生可以对机器人自由实训，考试模式下可以同时对多个班级进行分AB卷考试，查看成绩、进度、交卷状态和实验报告且可以导出实验报告，提供对考生禁考和解禁功能。</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7、考试倒计时：</w:t>
            </w:r>
            <w:r>
              <w:rPr>
                <w:rFonts w:hint="eastAsia" w:ascii="宋体" w:hAnsi="宋体" w:cs="宋体"/>
                <w:color w:val="auto"/>
                <w:szCs w:val="21"/>
                <w:highlight w:val="none"/>
              </w:rPr>
              <w:t xml:space="preserve">需具备</w:t>
            </w:r>
            <w:r>
              <w:rPr>
                <w:rFonts w:hint="eastAsia" w:ascii="宋体" w:hAnsi="宋体" w:cs="宋体"/>
                <w:color w:val="auto"/>
                <w:szCs w:val="21"/>
                <w:highlight w:val="none"/>
                <w:lang w:val="zh-CN"/>
              </w:rPr>
              <w:t xml:space="preserve">倒计时功能，不受JS线程的阻塞，同时定期与服务器同步到期时间，确保所有考生的考试时长相同。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8、web安全：遵守信息技术安全规范，防弱口令、SQL注入等攻击。</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9、异步数据交互：</w:t>
            </w:r>
            <w:r>
              <w:rPr>
                <w:rFonts w:hint="eastAsia" w:ascii="宋体" w:hAnsi="宋体" w:cs="宋体"/>
                <w:color w:val="auto"/>
                <w:szCs w:val="21"/>
                <w:highlight w:val="none"/>
              </w:rPr>
              <w:t xml:space="preserve">应支持</w:t>
            </w:r>
            <w:r>
              <w:rPr>
                <w:rFonts w:hint="eastAsia" w:ascii="宋体" w:hAnsi="宋体" w:cs="宋体"/>
                <w:color w:val="auto"/>
                <w:szCs w:val="21"/>
                <w:highlight w:val="none"/>
                <w:lang w:val="zh-CN"/>
              </w:rPr>
              <w:t xml:space="preserve">通过JSON与AJAX技术实现高效数据交换，网页能在无需刷新的情况下动态加载、发送与接收数据，满足实时性需求。</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w:t>
            </w:r>
            <w:r>
              <w:rPr>
                <w:rFonts w:hint="eastAsia" w:ascii="宋体" w:hAnsi="宋体" w:cs="宋体"/>
                <w:color w:val="auto"/>
                <w:szCs w:val="21"/>
                <w:highlight w:val="none"/>
              </w:rPr>
              <w:t xml:space="preserve">RPA</w:t>
            </w:r>
            <w:r>
              <w:rPr>
                <w:rFonts w:hint="eastAsia" w:ascii="宋体" w:hAnsi="宋体" w:cs="宋体"/>
                <w:color w:val="auto"/>
                <w:szCs w:val="21"/>
                <w:highlight w:val="none"/>
                <w:lang w:val="zh-CN"/>
              </w:rPr>
              <w:t xml:space="preserve">财务机器人针对学生实训和考试包含多种题型，</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包括单选题、多选题、填空题、判断题等客观题和实训题。</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11、充分考虑互联网技术的迭代发展，前端</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采用HTML5语言技术和流媒体插件，满足用户浏览PDF文档和视频文件。</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集成仿真系统，设计的</w:t>
            </w:r>
            <w:r>
              <w:rPr>
                <w:rFonts w:hint="eastAsia" w:ascii="宋体" w:hAnsi="宋体" w:cs="宋体"/>
                <w:color w:val="auto"/>
                <w:szCs w:val="21"/>
                <w:highlight w:val="none"/>
              </w:rPr>
              <w:t xml:space="preserve">RPA</w:t>
            </w:r>
            <w:r>
              <w:rPr>
                <w:rFonts w:hint="eastAsia" w:ascii="宋体" w:hAnsi="宋体" w:cs="宋体"/>
                <w:color w:val="auto"/>
                <w:szCs w:val="21"/>
                <w:highlight w:val="none"/>
                <w:lang w:val="zh-CN"/>
              </w:rPr>
              <w:t xml:space="preserve">财务机器人可凭借高度自动化流程执行能力能够检测并下载平台预设的模拟数据，进入仿真系统处理业务，实现模拟数据和仿真平台的无缝对接。</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）功能参数</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1、教务管理：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提供教师账号权限设置功能；</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提供教师账号管理、班级管理、学生账号管理等，学生账号支持批量添加、删除、修改等，便捷维护教务信息。</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2、知识图谱：</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能将知识模块与实验模块按财务机器人课程所需掌握的知识体系与该课程培养应具备的能力体系运用“知识图谱”技术，使其有机的结合，根据用户学习的轨迹及实训内容智能生成学生的能力画像，精准找出学生学习的薄弱环节、能力缺陷等，从而反哺教学。教师可自主构建课程体系和知识图谱。</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3、项目管理：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提供自定义针对课程内容进行项目管理和调整功能。每个实训项目都提供考试模式和练习模式。支持添加项目、上传指导手册的功能。</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4、教学评价：</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对所有项目模块进行分值设置，根据课程方案和实际情况，可自定义不同题目的考核占比的功能。软件的机器人实训部分可智能根据机器人执行过程中在对应的仿真平台上留下的操作记录、操作数据或上传至系统的数据，自动生成详细的统计分析报告、自动根据评分点评分。如仿真发票查验平台可根据用户各类发票的查验记录自动统计需查验发票数量、已查验发票数量、查验结果一致的发票数量和查验结果不一致的发票数量。</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5、内容管理：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内容管理功能，支持模块化教学内容的添加和编辑；学习任务支持多种模板类型，包括文本模板、客观题模板、场景模板、Excel表格+填空题模板、场景模板、Excel表格模板等多种版面设计形式，展现了高度的灵活性和适应性，满足不同的教学设计需要。</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（1）知识导航部分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允许上传相关课程资源，包括RPA基础课程、RPA+财务专业方向、自动化控件的精品课程。支持教师自定义上传课程资源，包含文档型及视频型等，文档支持主流pdf、xls、xlsx、csv、jpg、png、rar压缩包等文件类型；视频格式支持主流格式mp4。</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（2）文本模板</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提供富文本编辑器，支持录入纯文本、图片、视频、链接等，也可上传PPT或PDF文件。</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（3）客观题模板</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提供图片题、单选题、多选题、判断题、填空题等题型的添加设置。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 Excel表格+填空题模板</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提供上传Excel文件，将Excel文件中的表格内容转换至页面中显示并可以根据表格数据设置填空题.</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（5）在线Excel模板</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提供only office技术上传Excel模板，可以让教师在页面中使用Excel的内置公式、数据透视表、图片、图表等功能，支持根据设置的关键评分点智能匹配学生答案。</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（6）场景模版</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提供场景引入功能，教师可自定义设置任务场景、角色、对话和背景等。</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6、考试管理：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提供考试设置功能，可设置考试名称、考试时长、开始时间、结束时间、计时方式、AB卷设置等操作。</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7、成绩管理：汇总学生实训成绩和考试成绩。实训成绩管理，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支持各班级、各个项目的学生成绩查询并导出。</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支持查看学生画像以及知识点掌握情况，针对实验能力进行量化评价。考试成绩管理，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支持学生信息和成绩查询。</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8、虚拟仿真场景：</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提供财务RPA应用所需的实务仿真场景，学生结合具体机器人开发需求，从软件直接进入仿真场景，支持在仿真场景中进行RPA设计和开发。</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业务参数</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1、课程教学资源</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提供不少于10个项目的教学资源，包括基础理论部分和机器人开发项目，基础理论部分提供详细的教学PPT和配套的习题和任务，机器人开发项目提供相关场景的业务基础知识、相关的控件学习等。</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2、机器人开发仿真实验环境</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财务机器人开发仿真实验环境：包括ERP云平台、仿真增值税发票开票系统、仿真增值税发票综合服务平台、仿真企业电子申报管理系统、仿真网银系统、仿真国家增值税发票查验平台等，满足RPA财务机器人的应用、开发、调试等。</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3、机器人项目具体内容</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提供每个机器人开发的业务场景引入、场景需求分析、机器人自动化流程设计、机器人开发步骤、开发指南和操作运行视频等。</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4、机器人开发项目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机器人开发项目</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涵盖财务、会计、出纳、办税员等实务工作场景，具体包括发票识别机器人、发票查验机器人、银行流水下载机器人、网银付款机器人、收款录入机器人、增值税抵扣认证机器人、开票机器人、纳税申报机器人、银企对账机器人、三单匹配机器人。以下列举其中的五个开发项目作为例子：</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（1）RPA增值税发票抵扣机器人开发与应用项目：</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大量待抵扣勾选的发票数据，满足在增值税发票综合服务平台进行发票勾选查询、提交当期已勾选的发票、确认统计当期已提交的发票、查询下载已统计的发票数据、将认证结果导入企业电子申报管理系统等操作。作为RPA增值税发票抵扣机器人开发、调试、测试和工作的环境，系统高度仿真实务，帮助用户快速了解发票抵扣勾选的规则与操作流程。</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（2）RPA网银付款机器人开发与应用项目：</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提供仿真网银系统，满足在网银系统逐笔支付、查询下载回单等操作。作为 RPA 网银付款机器人开发、调试、测试和工作的环境，帮助用户了解实务中出纳岗位在接到付款申请单、完成付款业务、下载回单留存记账的完整工作流程。</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（3）RPA自动开票机器人开发与应用项目：</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高度还原实务ERP进销存系统、增值税发票开票软件，作为 RPA 自动开票机器人开发、调试、测试和工作的环境，帮助用户了解实务中开票员在收到销售开票申请单-逐张完成开票-发票号码回填进销存系统的完整工作流程。</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（4）RPA发票查验机器人开发与应用项目：</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提供仿真国家增值税发票查验平台，作为发票查验机器人开发、调试、测试和工作的环境，帮助用户了解各类发票、查验的目的、查验的实际操作流程等。</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（5）RPA纳税申报机器人开发与应用项目：</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高度还原企业电子申报管理系统，作为纳税申报机器人开发、调试、测试和工作的环境，帮助用户了解增值税及附加税费的报表填写、申报审核、清缴税款实际操作流程等。</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）云服务器</w:t>
            </w:r>
            <w:r>
              <w:rPr>
                <w:rFonts w:hint="eastAsia" w:ascii="宋体" w:hAnsi="宋体" w:cs="宋体"/>
                <w:color w:val="auto"/>
                <w:szCs w:val="21"/>
                <w:highlight w:val="none"/>
              </w:rPr>
              <w:t xml:space="preserve">及数据对接服务</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提供运维质保期为五年，五年内同版本产品提供免费升级服务；服务内容包括安装、调试、培训、维护、远程咨询和远程处理问题等。根据用户要求，五年内根据使用情况，提供内容定制更新服务，支持用户进行内容更新和完善。</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2、提供永久云服务器线上服务，也可根据用户需求进行本地化部署。</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3、提供云服务器安全服务，阻拦病毒及网络攻击，保证软件安全运行。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4、提供硬盘快照服务，数据损坏可还原至一周前的数据。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5、根据用户要求，支持提供用户登录与招标方资源平台对接功能，提供API等对接接口。</w:t>
            </w:r>
            <w:r>
              <w:rPr>
                <w:rFonts w:hint="eastAsia" w:ascii="宋体" w:hAnsi="宋体" w:cs="宋体"/>
                <w:color w:val="auto"/>
                <w:szCs w:val="21"/>
                <w:highlight w:val="none"/>
                <w:lang w:val="zh-CN"/>
              </w:rPr>
              <w:tab/>
            </w:r>
            <w:r/>
          </w:p>
        </w:tc>
      </w:tr>
      <w:tr>
        <w:trPr>
          <w:trHeight w:val="525"/>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数字财务综合实验系统</w:t>
            </w:r>
            <w:r/>
          </w:p>
        </w:tc>
        <w:tc>
          <w:tcPr>
            <w:tcBorders>
              <w:top w:val="single" w:color="000000" w:sz="4" w:space="0"/>
              <w:left w:val="single" w:color="000000" w:sz="4" w:space="0"/>
              <w:bottom w:val="single" w:color="000000" w:sz="4" w:space="0"/>
              <w:right w:val="single" w:color="000000" w:sz="4" w:space="0"/>
            </w:tcBorders>
            <w:tcW w:w="7183" w:type="dxa"/>
            <w:textDirection w:val="lrTb"/>
            <w:noWrap w:val="false"/>
          </w:tcPr>
          <w:p>
            <w:pPr>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、技术参数</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1、运行操作系统：平台应支持统信、麒麟等国产操作系统，同时兼容windows、Linux登操作系统，确保信息安全。</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2、B/S架构：平台采用B/S架构，用户通过浏览器访问平台，无需安装任何插件，方便安装和维护。</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3、基础开发技术开源：平台使用的python、vue3+Element UI、MySQL、MongoDB、Loki、Redis均为开源，避免被人为技术控制导致平台信息泄漏与崩溃。</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4、web安全：遵守信息技术安全规范，防弱口令、SQL注入等攻击。</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5、数据保护：应采用数据签名技术，确保数据传输过程中的安全，防止篡改。</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6、异步数据交互：应支持通过JSON与AJAX技术实现高效数据交换，网页能在无需刷新的情况下动态加载、发送与接收数据，满足实时性需求。</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7、需能够实时保存学生数据，最大限度降低数据丢失的风险。</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8、多层架构：平台应采用多层架构，各层职责分明，减少耦合，提升可扩展、可维护性。</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9、弹性数据库管理：数据库设计应支持读写分离，可弹性伸缩数据库实例，集成Redis缓存数据库，显著增强并发处理能力，确保在高流量下也能提供流畅体验。</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10、平台应支持课程实训和课程考试两种模式。考试开启后，在设定的时间内学生只能登录考试，提前登录实训的学生将被强制下线，预防考试作弊，确保考试的公正、有效和质量。</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11、平台应集数据可视化技术实训、全面考核与即时自动评分于一体，引领学习体验新高度。</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12、平台应能够对接Power BI报表服务器，允许用户在平台内部上传Power BI可视化文件，平台内所有授权用户均可以浏览。</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13、自主研发防作弊服务，应支持在考试时候，实时监控学生的行为并进行分析，防止出现替考行为，确保考试的公平性。</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14、应具备数据恢复与备份功能。程序可根据用户需求进行自动备份，包括系统的操作信息及数据信息。在出现误操作或非可抗力情况导致丢失数据，用户可使用改功能进行数据恢复，用户还可根据更加细致的需求，单独恢复系统中的某个产品的数据。</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、功能参数</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（一）教学管理</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1、平台首页个性化仪表盘：</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支持教师根据使用习惯个性化配置快捷操作入口；</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集成实验看板可视化工具，实时监控与调控实验进程；</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提供灵活的开关控制，支持按需定制首页功能布局。</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2、教师管理：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支持管理员创建并管理课程教师信息，对教师功能权限与课程授权进行精细化管理。</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3、行政班级管理：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支持以行政班级为单位，快速新增或批量导入学生信息，实现学生基础数据的全面维护与管理；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提供批量创建学生账号的功能，可通过指定学号区间和统一密码，快速新增账号。</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4、教学班级管理：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支持按照课程创建教学班级；</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提供协同教学模式，支持多位教师共同参与教学班级的基本信息与任务管理。</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5、课程管理：平台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支持课程个性化分类与精细化管理，教师可对课程进行分类和对课程内容进行管理；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提供二次开发的功能，支持教师创建个人的课程资源。</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（1）知识图谱：平台的知识图谱功能</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两种视图模式，在编辑模式下，它呈现为可自由扩展的树状结构，支持用户便捷地增删二级、三级知识节点；退出编辑后，系统自动将结构转化为可视化的知识图谱，所有节点以球形样式清晰布局于画布之上，并通过连线直观展示其逻辑关联，形成结构一目了然的知识网络。</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（2）资源中心：资源中心</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深度整合多元化教学资源，涵盖课程教学、实践案例、产业案例板块，精准对接教学需求。</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①课程教学：服务于日常教学配套教材技能点开设任务，</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提供任务选择、任务目标、知识准备、课堂实训、拓展实训、实验资料、数据中心、文件列表功能，支持自由选取单项或多项功能完成任务构建与设置。</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②实践案例：可服务于综合应用、课程考核及比赛。该模块</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涵盖案例背景、任务选择、任务实训、实验资料、数据中心、文件列表等功能，用户可根据需要自由选取单项或多项功能，快速完成内容的构建与设置。</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③产业案例：可服务于地区校企合作设立的特色案例资源，致力产业人才培养。该模块</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涵盖案例背景、任务选择、任务实训、实验资料、数据中心、文件列表等功能，用户可根据需要自由选取单项或多项功能，快速完成内容的构建与设置。</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具备案例设计模板库，包括富文本模板、场景模板、客观题模板、数据3D透视模板、数字化工具通用模板等。其中，富文本模板支持快速排版图文、课件、设置超链接；场景模板支持角色对话情景教学，支持自定义场景图片、职位、角色、角色发言；数据3D透视模板支持货位优化等多场景3D交互，支持设置任务描述图文上传附件、设置超链接，支持开启学生规划结果上传功能；数字化工具通用模板为综合工具集，涵盖内置数据可视化工具、BI互动决策、BI作品上传、Python引导式编程、Python自主编程、Excel下载答题，全面支撑实训任务。</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（4）实验安排：平台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支持为课程教学、实践案例、产业案例等不同实验分类创建实验安排。其中，基础设置支持配置实验名称、实验班级与实验时间；实验设置支持选取教学资源，并可分项目设置是否启用内容展示、答案展示及操作指引。教师可提前关闭或延期实验。平台支持设置自评与互评，可配置每组人数、自评/互评/教师评分的占比及起止时间。</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（5）实验看板：平台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班级选择、实验选择，通过可视化图像实时展现学生的实验情况，支持查看学生在线率、学生完成情况、子任务未答率、实验任务平均时间、实验任务争取率，并且支持查看各项指标详情，通过导出信息按钮导出详情表。</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6、试题中心：根据课程知识图谱知识点内置标准题作为教师用于课程知识考核的组卷资源；内置丰富多样的标准试题资源，</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涵盖单选、多选、不定项、判断、填空、问答和综合题等多种题型，同时</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支持上传包含图片信息的题干和选项；填空题支持多个空格位置互换识别判分。</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7、试卷管理：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高度灵活的试卷创建与配置功能，支持技能题、理论题以及技能+理论三种多样化组卷方式，理论题组卷支持根据考核范围与题目数量智能筛选，人工选题支持系统内置资源选题，同时支持教师上传试题资源，方便教师快速导入自己命题的试卷，满足个性化命题需求。</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8、考试安排：用于课程考核和学科竞赛，考前支持详尽的考核信息与评分规则设置，</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包括但不限于考试内容、时长、漏选/答错扣分规则及人工评分隐私保护等，确保考试公平公正。考试过程中，</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提供灵活的考试管理功能，如禁考控制、考试时间调整等，以应对突发情况，保障考试顺利进行。</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9、课堂演示：平台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提供课堂演示功能，支持教师以学生实训视角进入案例演示场景，同时</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提供教学白版和演示答案导入方便教师进行课程备课或课堂教学。</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10、课堂任务布置：平台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支持从试题中心中随机抽取题目发布课堂任务，学生通过扫描二维码即可参与答题。系统自动统计并展示学生参与率与题目正确率，帮助教师即时掌握学情。</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11、成绩管理：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可以查看学生实验和考试的成绩结果，并提供学习画像功能对考核结果进行深度可视化分析呈现，同时提供学习档案可以快速查找某个同学的学习成果。</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（1）实验成绩及考试成绩：</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可以查看学生的实验、考试成绩同时提供人工评分入口，教师可以通过人工评分功能对学生答卷进行对错判断、文字标注及题目点评。</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（2）学习画像：</w:t>
            </w:r>
            <w:r>
              <w:rPr>
                <w:rFonts w:hint="eastAsia" w:ascii="宋体" w:hAnsi="宋体" w:cs="宋体"/>
                <w:color w:val="auto"/>
                <w:szCs w:val="21"/>
                <w:highlight w:val="none"/>
              </w:rPr>
              <w:t xml:space="preserve">可</w:t>
            </w:r>
            <w:r>
              <w:rPr>
                <w:rFonts w:hint="eastAsia" w:ascii="宋体" w:hAnsi="宋体" w:cs="宋体"/>
                <w:color w:val="auto"/>
                <w:szCs w:val="21"/>
                <w:highlight w:val="none"/>
                <w:lang w:val="zh-CN"/>
              </w:rPr>
              <w:t xml:space="preserve">根据学生成绩对学生学习结果进行可视化分析，</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不同区间得分人数汇总、学生成绩分析、参与学生人数、最高分、最低分、学生平均分、学生平均完成进度、学生工具应用情况、正确率前5试题、错误率前5试题、学生实训时长分析、各任务学生答题情况。从班级整体得分情况、数字化工具应用情况、题目掌握程度等多个维度进行分析。</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（3）一站式学习档案管理：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支持快速查阅班级内任意课程学生的学习成果，同时支持下载备案，确保学习数据的完整性与安全性。</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12、数据中心：实施严格的数据备份与恢复策略，系统</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采用自动化机制定期执行全面数据备份，确保数据安全性与完整性。</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支持管理员对系统的某个课程或者整个系统进行数据还原，有效抵御外部因素导致的数据丢失风险。</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（二）学生端</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1、平台</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集“学、练、考、评”四大功能于一体，构建起一个全方位、立体化的学习生态体系。教师可依据课程进度灵活切换学习场景，确保教学活动的连贯性与针对性，为学生打造沉浸式学习体验。</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支持教师为小组主观题开启自评与互评。功能开启后，学生可在组内进行互评和自评打分。</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3、平台</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具备考试通知功能，可向学生推送完整的考试信息。包括考试的起止时间、时长、允许进入时间、参与的班级以及考试入口。</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采用项目导向型学习模式，将知识准备、知识考察、课堂实训、拓展实训等关键环节有机融合，形成理论与实践并重的教学闭环。加深学生对知识的理解，提升其在实际场景中的应用能力。</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集成包括Python编程、可视化工具、Excel应用、BI数据分析在内的多种数据分析工具，并提供详尽的操作指南与参考答案，助力学生快速掌握数据分析技能。特别是Excel运用部分，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支持上传作答文件并智能评分，学生可即时下载改卷结果，查看作答详情，系统还会高亮显示错误位置，帮助学生迅速定位知识盲点，加速学习进程。</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6、Python工具</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提供多种考核方式，学生可根据编程需求，在Python工具的“技术需求转化”中按导向提示，完成内置脚本代码的补充，也可直接在“需求实现”模块，通过自主编写代码的模式，实现编程。执行完毕后，通过“执行并显示结果”模块，以图片、文档（包括但不限于PDF、Word等）等多元化、高清晰度的形式，直观呈现分析结果，并配有对应的下载功能。</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三、业务参数</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1、平台构建八大项目模块体系，</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涵盖</w:t>
            </w:r>
            <w:r>
              <w:rPr>
                <w:rFonts w:hint="eastAsia" w:ascii="宋体" w:hAnsi="宋体" w:cs="宋体"/>
                <w:color w:val="auto"/>
                <w:szCs w:val="21"/>
                <w:highlight w:val="none"/>
              </w:rPr>
              <w:t xml:space="preserve">至少</w:t>
            </w:r>
            <w:r>
              <w:rPr>
                <w:rFonts w:hint="eastAsia" w:ascii="宋体" w:hAnsi="宋体" w:cs="宋体"/>
                <w:color w:val="auto"/>
                <w:szCs w:val="21"/>
                <w:highlight w:val="none"/>
                <w:lang w:val="zh-CN"/>
              </w:rPr>
              <w:t xml:space="preserve"> 25个课程任务；结合理论与实践，</w:t>
            </w:r>
            <w:r>
              <w:rPr>
                <w:rFonts w:hint="eastAsia" w:ascii="宋体" w:hAnsi="宋体" w:cs="宋体"/>
                <w:color w:val="auto"/>
                <w:szCs w:val="21"/>
                <w:highlight w:val="none"/>
              </w:rPr>
              <w:t xml:space="preserve">还应</w:t>
            </w:r>
            <w:r>
              <w:rPr>
                <w:rFonts w:hint="eastAsia" w:ascii="宋体" w:hAnsi="宋体" w:cs="宋体"/>
                <w:color w:val="auto"/>
                <w:szCs w:val="21"/>
                <w:highlight w:val="none"/>
                <w:lang w:val="zh-CN"/>
              </w:rPr>
              <w:t xml:space="preserve">配套</w:t>
            </w:r>
            <w:r>
              <w:rPr>
                <w:rFonts w:hint="eastAsia" w:ascii="宋体" w:hAnsi="宋体" w:cs="宋体"/>
                <w:color w:val="auto"/>
                <w:szCs w:val="21"/>
                <w:highlight w:val="none"/>
              </w:rPr>
              <w:t xml:space="preserve">至少</w:t>
            </w:r>
            <w:r>
              <w:rPr>
                <w:rFonts w:hint="eastAsia" w:ascii="宋体" w:hAnsi="宋体" w:cs="宋体"/>
                <w:color w:val="auto"/>
                <w:szCs w:val="21"/>
                <w:highlight w:val="none"/>
                <w:lang w:val="zh-CN"/>
              </w:rPr>
              <w:t xml:space="preserve">25项实战化课堂实训任务。</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2、背景引入模块各任务</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与Power</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BI看板形成交互式呈现：通过行业可视化看板，支持学生从行业销量、各品类销量、各品牌份额、行业政策等维度分析外部环境发展现状；通过企业内部数据可视化看板，</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支持学生围绕市场份额占比、面临风险及影响程度、产品销量占比等维度分析企业发展现状；通过企业财务驾驶舱，</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支持学生从营业收入、营业成本、营业利润、现金流、资产负债率等维度分析财务状况，实现行业、企业、财务层面的可视化认知闭环。</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3、项目二“风险管理”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由风险管控概述与风险管控方法两个任务构成。通过理论知识讲解、模型工具讲解及相关资讯阅读，帮助用户构建完整的风险识别、风险分析及风险应对管控体系，培养学生从战略、法律、市场、运营、财务等多维度分析企业转型升级风险难度。</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4、企业风险分析采用层次分析法，</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从目标层、准则层、方案层三个层次，基于企业同一层次关键风险指标相对重要性开展两两比较并赋权，通过MMULT函数综合确定各关键风险指标赋值，最终明确各维度风险影响程度。基于风险应对四大方法，针对企业数字化转型识别的风险问题，提供具体应对方案，在实现数字赋能与风险及影响程度定位识别的同时，达成风险应对与预防。</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5、项目三“战略管理”深入探索战略管理的精髓，</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聚焦于战略管理概述、企业SWOT分析、绘制战略地图与制定年度战略目标四大核心任务。项目通过理论阐释、模型工具讲解及资讯资源，为学生搭建全面战略分析框架；项目搭建涵盖各核心模块理论知识考察、实训任务，确保学生将理论转化为实践。</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6、企业SWOT分析</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包含SWOT分析概念阐述、SWOT四要素解析，帮助学生识别评估企业优劣势、发现应对外部机会威胁。任务案例结合政策导向，指导学生挖掘企业优劣势与机会威胁，帮助学生掌握基于SWOT结果确定战略环境的能力。战略地图</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采用平衡计分卡工具，从财务、客户、内部流程、学习与成长四个维度拆解企业数字转型战略目标，通过PowerBI可视化看板搭建交互式选择功能，呈现企业数字转型整体战略地图。</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7、项目四“数智制造与市场营销”</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基于企业存在销售目标模糊、客群定位模糊、促销效果难量化、广告投放缺乏数据支撑等痛点，结合以消费者为核心、消费升级的需求场景，配置全面制定销售预算、综合制定产品价格、规划广告投放渠道、选择合适促销方案、多维评审销售订单、全面管理销售客户、AI协助综合确定产品价格七个核心任务，构建营销环节关键决策支撑体系。</w:t>
            </w:r>
            <w:r/>
          </w:p>
          <w:p>
            <w:pPr>
              <w:widowControl/>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★8、项目四“数智制造与市场营销”实训任务</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运用线性回归、决策树分析、RFM模型、聚类分析等不少于四种的机器学习算法模型，以有效解决企业在制定销售目标、产品定价、广告投放策略、促销方案选择以及客户管理等方面的六大核心难题。</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提供软件功能演示视频</w:t>
            </w:r>
            <w:r>
              <w:rPr>
                <w:rFonts w:hint="eastAsia" w:ascii="宋体" w:hAnsi="宋体" w:cs="宋体"/>
                <w:b/>
                <w:bCs/>
                <w:color w:val="auto"/>
                <w:szCs w:val="21"/>
                <w:highlight w:val="none"/>
                <w:lang w:val="zh-CN"/>
              </w:rPr>
              <w:t xml:space="preserve">）</w:t>
            </w:r>
            <w:r/>
          </w:p>
          <w:p>
            <w:pPr>
              <w:widowControl/>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9、全面制定销售预算任务体现销售部门与财务部门的协同作业及其专业策略的应用。销售部门</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采用ARIMA模型，对企业产品的市场需求展开预测，为销售目标的初步设定奠定坚实的数据基础；财务部门</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依据企业的长期战略目标，从宏观视角出发，对销售预算进行初步规划。</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widowControl/>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★10、综合制定产品价格任务</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通过产品生命周期、成本分析、产品弹性需求、市场反馈等维度系统化流程制定符合产品价值、适应市场变化的定价策略。结合销量判断生命周期，</w:t>
            </w:r>
            <w:r>
              <w:rPr>
                <w:rFonts w:hint="eastAsia" w:ascii="宋体" w:hAnsi="宋体" w:cs="宋体"/>
                <w:color w:val="auto"/>
                <w:szCs w:val="21"/>
                <w:highlight w:val="none"/>
              </w:rPr>
              <w:t xml:space="preserve">可</w:t>
            </w:r>
            <w:r>
              <w:rPr>
                <w:rFonts w:hint="eastAsia" w:ascii="宋体" w:hAnsi="宋体" w:cs="宋体"/>
                <w:color w:val="auto"/>
                <w:szCs w:val="21"/>
                <w:highlight w:val="none"/>
                <w:lang w:val="zh-CN"/>
              </w:rPr>
              <w:t xml:space="preserve">利用销售数据构建线性回归模型分析价格与销量关系，计算需求弹性，基于利润最大化调整定价。销售后收集市场反馈，</w:t>
            </w:r>
            <w:r>
              <w:rPr>
                <w:rFonts w:hint="eastAsia" w:ascii="宋体" w:hAnsi="宋体" w:cs="宋体"/>
                <w:color w:val="auto"/>
                <w:szCs w:val="21"/>
                <w:highlight w:val="none"/>
              </w:rPr>
              <w:t xml:space="preserve">可应</w:t>
            </w:r>
            <w:r>
              <w:rPr>
                <w:rFonts w:hint="eastAsia" w:ascii="宋体" w:hAnsi="宋体" w:cs="宋体"/>
                <w:color w:val="auto"/>
                <w:szCs w:val="21"/>
                <w:highlight w:val="none"/>
                <w:lang w:val="zh-CN"/>
              </w:rPr>
              <w:t xml:space="preserve">用PSM模型分析消费者行为，灵活调整价格，确保定价策略与市场动态紧密契合。</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提供软件功能演示视频</w:t>
            </w:r>
            <w:r>
              <w:rPr>
                <w:rFonts w:hint="eastAsia" w:ascii="宋体" w:hAnsi="宋体" w:cs="宋体"/>
                <w:b/>
                <w:bCs/>
                <w:color w:val="auto"/>
                <w:szCs w:val="21"/>
                <w:highlight w:val="none"/>
                <w:lang w:val="zh-CN"/>
              </w:rPr>
              <w:t xml:space="preserve">）</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11、规划广告投放渠道任务</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运用企业广告线性回归模型，剖析广告渠道投放金额与销售收入的相关性及对应关系，量化渠道投放对销售收入的直接影响，明确二者线性关系，为优化营销策略、提升投放效率提供数据支撑，同时评估各渠道投放效果，助力企业优化广告策略、提升投放回报率。</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12、选择合适促销方案针对不同门店的促销方案、不同消费者的促销方案、基于产品关联性的促销方案助力运用多元化分析企业促销策略的核心方法。</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利用决策树模型，基于消费者购买历史、频率、金额等数据构建分类体系，递归选择最优特征划分消费者群体，叶节点展示群体消费特征，据此制定个性化促销方案。同时，运用关联规则挖掘技术分析客户购买习性，识别高频产品组合及关联规则，筛选高关联度产品，设计连带购买促销策略。</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13、AI协助综合确定产品价格</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以AI工具为核心支撑，通过AI工具分析产品销量数据判定产品所处生命周期阶段，AI构建需求模型计算价格弹性，结合产品成本及市场反馈价格数据，综合确定产品最优定价。</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14、项目五“数智制造与物质采购”</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聚焦采购策略规划、供应商关系管理、成本控制三大环节，通过体系化知识讲解与全流程知识评估，使用户系统掌握企业采购流程各环节要点，熟练运用大数据工具解决采购复杂问题，积累数智化采购理论储备与实践经验，提升数智采购领域综合能力。</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15、项目五“数智制造与物质采购”</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集成TCO模型、层次分析法、EOQ经济订货量模型及规划求解等算法，解决物料需求计划制定、内部供应商评价、外部供应商选择、采购成本控制四大难题。以TCO成本法开展内部供应商评估，结合外部供应商资料看板运用层次分析法筛选外部供应商，构建内外部协同评估筛选流程，优化供应商结构，保障采购环节适配性。</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运用EOQ模型结合近五年市场供需数据，精准预测企业订购量与价格，制定采购规划决策，推动采购数字化转型，控制成本并提升采购效率与企业竞争力。</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16、项目六“数智制造与生产规划”</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涵盖规划产前工作、企业生产排产、成本差异分析等三大核心任务。项目通过理论模型工具讲解，为学生搭建全面生产规划框架；项目</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搭建涵盖各核心模块理论知识考察、实训任务，确保学生将理论转化为实践。</w:t>
            </w:r>
            <w:r>
              <w:rPr>
                <w:rFonts w:hint="eastAsia" w:ascii="宋体" w:hAnsi="宋体" w:cs="宋体"/>
                <w:b/>
                <w:bCs/>
                <w:color w:val="auto"/>
                <w:szCs w:val="21"/>
                <w:highlight w:val="none"/>
                <w:lang w:val="zh-CN"/>
              </w:rPr>
              <w:t xml:space="preserve">（提供软件功能</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val="zh-CN"/>
              </w:rPr>
              <w:t xml:space="preserve">）</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17、规划产前工作任务</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通过边际贡献效益、盈亏平衡分析法业财融合解决生产线投资决策、零部件自制与外购选择、产品停产决策、产品组合决策的问题，为企业产前规划提供科学量化依据，提升决策精准度与资源配置效率。</w:t>
            </w:r>
            <w:r/>
          </w:p>
          <w:p>
            <w:pPr>
              <w:widowControl/>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18、生产排产任务融合BI交互式看板协助完成基础调度数据的处理，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运用Python工具结合遗传算法完成企业订单的排产，实现数据可视化驱动与算法的深度协同，提升排产效率与生产资源利用率。</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提供软件功能演示视频</w:t>
            </w:r>
            <w:r>
              <w:rPr>
                <w:rFonts w:hint="eastAsia" w:ascii="宋体" w:hAnsi="宋体" w:cs="宋体"/>
                <w:b/>
                <w:bCs/>
                <w:color w:val="auto"/>
                <w:szCs w:val="21"/>
                <w:highlight w:val="none"/>
                <w:lang w:val="zh-CN"/>
              </w:rPr>
              <w:t xml:space="preserve">）</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19、项目七“数字制造与仓储管理”</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基于企业当前存在的产品拣货与配件出库速度跟不上需求、仓储成本压力大为诱发事件，配置优化仓库货位-规划仓库库存两大任务，构建针对性的仓储优化任务体系以支撑企业仓储效率提升。</w:t>
            </w:r>
            <w:r/>
          </w:p>
          <w:p>
            <w:pPr>
              <w:widowControl/>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20、货位优化融合BI交互式看板协助反映企业仓库出入库频率高不靠近门口、重货物在高层货架的问题；</w:t>
            </w:r>
            <w:r>
              <w:rPr>
                <w:rFonts w:hint="eastAsia" w:ascii="宋体" w:hAnsi="宋体" w:cs="宋体"/>
                <w:color w:val="auto"/>
                <w:szCs w:val="21"/>
                <w:highlight w:val="none"/>
              </w:rPr>
              <w:t xml:space="preserve">应可</w:t>
            </w:r>
            <w:r>
              <w:rPr>
                <w:rFonts w:hint="eastAsia" w:ascii="宋体" w:hAnsi="宋体" w:cs="宋体"/>
                <w:color w:val="auto"/>
                <w:szCs w:val="21"/>
                <w:highlight w:val="none"/>
                <w:lang w:val="zh-CN"/>
              </w:rPr>
              <w:t xml:space="preserve">运用遗传算法模型对当前仓储功能区分布、货架货物摆放不合理、进出货规划不规范导致仓储成本大等难题提供决策依据。实现数字化参与仓库规划管理，全面提高仓库货物出入库速度，把控仓库仓储成本。</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提供软件功能演示视频</w:t>
            </w:r>
            <w:r>
              <w:rPr>
                <w:rFonts w:hint="eastAsia" w:ascii="宋体" w:hAnsi="宋体" w:cs="宋体"/>
                <w:b/>
                <w:bCs/>
                <w:color w:val="auto"/>
                <w:szCs w:val="21"/>
                <w:highlight w:val="none"/>
                <w:lang w:val="zh-CN"/>
              </w:rPr>
              <w:t xml:space="preserve">）</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21、规划仓库库存融合EOQ（经济订货量）模型从安全库存、成本、不缺货期望三个角度分别调整规划库存，实现库存成本与保障水平的综合优化。</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依托平衡记分卡模型，破解企业指标考核不全、绩效差异难分析难题，从财务、客户、内部流程、学习与成长维度搭建关键指标评价体系，借绩效评级表衡量效果并计算得分，分析企业与行业均值差距。收集内外部资讯挖掘差异成因，识别问题并反馈优化建议，以数字化实现精准考核与全绩效管理，兼顾企业长期目标与考核问题即时沟通反馈。</w:t>
            </w:r>
            <w:r/>
          </w:p>
          <w:p>
            <w:pPr>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三、云服务器</w:t>
            </w:r>
            <w:r>
              <w:rPr>
                <w:rFonts w:hint="eastAsia" w:ascii="宋体" w:hAnsi="宋体" w:cs="宋体"/>
                <w:color w:val="auto"/>
                <w:szCs w:val="21"/>
                <w:highlight w:val="none"/>
              </w:rPr>
              <w:t xml:space="preserve">及数据对接服务</w:t>
            </w:r>
            <w:r/>
          </w:p>
          <w:p>
            <w:pPr>
              <w:tabs>
                <w:tab w:val="left" w:pos="1634"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提供运维质保期为五年，五年内同版本产品提供免费升级服务；服务内容包括安装、调试、培训、维护、远程咨询和远程处理问题等。根据用户要求，五年内根据使用情况，提供内容定制更新服务，支持用户进行内容更新和完善。</w:t>
            </w:r>
            <w:r/>
          </w:p>
          <w:p>
            <w:pPr>
              <w:tabs>
                <w:tab w:val="left" w:pos="1634"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提供永久云服务器线上服务，也可根据用户需求进行本地化部署。</w:t>
            </w:r>
            <w:r/>
          </w:p>
          <w:p>
            <w:pPr>
              <w:tabs>
                <w:tab w:val="left" w:pos="1634"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提供云服务器安全服务，阻拦病毒及网络攻击，保证软件安全运行。</w:t>
            </w:r>
            <w:r/>
          </w:p>
          <w:p>
            <w:pPr>
              <w:tabs>
                <w:tab w:val="left" w:pos="1634"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4、提供硬盘快照服务，数据损坏可还原至一周前的数据。</w:t>
            </w:r>
            <w:r/>
          </w:p>
          <w:p>
            <w:pP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5、根据用户要求，支持提供用户登录与招标方资源平台对接功能，提供API等对接接口。</w:t>
            </w:r>
            <w:r/>
          </w:p>
        </w:tc>
      </w:tr>
      <w:t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金融大数据分析挖掘系统</w:t>
            </w:r>
            <w:r/>
          </w:p>
        </w:tc>
        <w:tc>
          <w:tcPr>
            <w:tcBorders>
              <w:top w:val="single" w:color="000000" w:sz="4" w:space="0"/>
              <w:left w:val="single" w:color="000000" w:sz="4" w:space="0"/>
              <w:bottom w:val="single" w:color="000000" w:sz="4" w:space="0"/>
              <w:right w:val="single" w:color="000000" w:sz="4" w:space="0"/>
            </w:tcBorders>
            <w:tcW w:w="7183" w:type="dxa"/>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）系统介绍</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平台以在线Python编译器为基础，以 “项目化、任务化、步骤化”为学习单元，涵盖金融大数据领域的教学、练习、实验、考试、大赛等应用场景模式。</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）详细参数</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1、产品定位：BS架构，以在线Python编译器为基础，能够实现以项目化、任务化、步骤化为学习单元，涵盖教学、练习实验、考试等应用场景模式。</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2、系统包括教师端和学生端，教师端包括考试管理、成绩管理、资源管理等模块内容，学生端包括实验演练、理论考试、实战考核、资源中心、学习数据统计分析等功能模块内容。</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3、实验演练模式：模块的每个实验任务要求能够实现知识概要介绍功能、学习测评功能、实验功能、知识笔记 功能。知识概要介绍功能主要是提供在线的知识讲解，能够图文并茂的介绍相关基础知识。学习测评功能须每个实验项目提供不少于10道 测验题，支持单选、多选、判断等客观题，能够对学生进行知识掌握 测验考核。实验功能须能够提供案例实验实务操作。知识笔记功能满足学生可以随时记录学习心得体会操作。</w:t>
            </w:r>
            <w:r>
              <w:rPr>
                <w:rFonts w:hint="eastAsia" w:ascii="宋体" w:hAnsi="宋体" w:cs="宋体"/>
                <w:b/>
                <w:bCs/>
                <w:color w:val="auto"/>
                <w:szCs w:val="21"/>
                <w:highlight w:val="none"/>
                <w:lang w:val="zh-CN"/>
              </w:rPr>
              <w:t xml:space="preserve">（提供软件功能截图）</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4、案例实验：支持实验模式和练习模式，实验模式使用在线的Python编辑环境，支持在线代码填空、运行代码展示结果、查看/隐藏答案，系统自动评分；每个实验案例都配备练习模式，提供编程练习题及练习题参考答案，支持学生完全自主编辑运行调试代码，巩固所学案例。</w:t>
            </w:r>
            <w:r>
              <w:rPr>
                <w:rFonts w:hint="eastAsia" w:ascii="宋体" w:hAnsi="宋体" w:cs="宋体"/>
                <w:b/>
                <w:bCs/>
                <w:color w:val="auto"/>
                <w:szCs w:val="21"/>
                <w:highlight w:val="none"/>
                <w:lang w:val="zh-CN"/>
              </w:rPr>
              <w:t xml:space="preserve">（提供软件功能截图）</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5、理论考试：基于系统内置试题库，支持随时进行理论考试，点击开始考试系统即自动抽题组卷，完成考试后即可查看成绩，系统记录历次考试详情，错题自动进入错题集。</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6、实战考核：支持在线答题考试，题型包括客观题、在线Python编程题，考试结束后系统自动评分，支持查看考试成绩，按照用户、班级、考试名称筛选成绩，支持查看每个学生的每道题的正误情况，考核过程中可实时查看考核提交情况，支持指定人重考，考试结束前可指定已提交考试的某个学生重新考试。</w:t>
            </w:r>
            <w:r>
              <w:rPr>
                <w:rFonts w:hint="eastAsia" w:ascii="宋体" w:hAnsi="宋体" w:cs="宋体"/>
                <w:b/>
                <w:bCs/>
                <w:color w:val="auto"/>
                <w:szCs w:val="21"/>
                <w:highlight w:val="none"/>
                <w:lang w:val="zh-CN"/>
              </w:rPr>
              <w:t xml:space="preserve">（提供软件功能截图）</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7、学习数据统计分析：统计实验演练、实 战考核、理论考试、资源中心四大模块学习数据，并进行可视化图表展示。实战考核包含学生自我成绩排名、成绩数据等数据统计展示。</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8、教师端互动功能：教师端支持已有学生提问查询功能，支持老师提问功能包括对针对班级学生随机抽取提问操作，支持教师向班级全体学生发起讨论，并可以在讨论内查看学生历史讨论内容。</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9、教师端签到管理功能：支持指定IP地址段、验证码、手动签到等方式进行电子签到。</w:t>
            </w:r>
            <w:r>
              <w:rPr>
                <w:rFonts w:hint="eastAsia" w:ascii="宋体" w:hAnsi="宋体" w:cs="宋体"/>
                <w:b/>
                <w:bCs/>
                <w:color w:val="auto"/>
                <w:szCs w:val="21"/>
                <w:highlight w:val="none"/>
                <w:lang w:val="zh-CN"/>
              </w:rPr>
              <w:t xml:space="preserve">（提供软件功能截图）</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教师端考试管理功能：支持开设、编辑、删除考试，新增考试支持成绩权重设置、客观题题目和分值设置、实验案例题目和分值设置。考试过程实时查看提交情况，实验考试结束前可指定已提交实验的某个学生重新考试。</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教师端成绩管理功能：包括实战考核，练习实验以及理论考试三大模块的成绩管理功能。实战考核成绩管理支持查看成绩排名、学生的得分详情，支持查看成绩图表统计以及理论题及案例题成绩报告，统计错误率。练习实验成绩管理支持查看成绩详情、查看学生实验练习进度、进行实验报告评阅，支持知识概要、学习资源、知识测评、实验实训、实验报告各模块成绩权重设置。理论考试支持查看学生理论考试情况及得分排名。（提供软件功能截图）            </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12、教师端资源管理功能：包含资源列表、题库管理、实验案例及知识概要管理。可以查看系统内置学习资源，题库及实验案例，可上传自己的学习资源，新增导入试题，新增实验案例用于考核。</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13、数据仓库：提供金融业、电子商务、商务服务、卫生社会、文体娱乐、居民服务、房地产、教育、科学研究、制造业、信息技术等多个行业的不少于100份数据集供下载使用。基于内置数据，可以在线运行jupyter lab编译环境，支持python语言、R语言，支持notebook在线编程运行数据进行挖掘分析。具体包括以下数据集：</w:t>
            </w:r>
            <w:r>
              <w:rPr>
                <w:rFonts w:hint="eastAsia" w:ascii="宋体" w:hAnsi="宋体" w:cs="宋体"/>
                <w:b/>
                <w:bCs/>
                <w:color w:val="auto"/>
                <w:szCs w:val="21"/>
                <w:highlight w:val="none"/>
                <w:lang w:val="zh-CN"/>
              </w:rPr>
              <w:t xml:space="preserve">（提供软件功能截图）</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（1）客户购物趋势数据集、车辆数据集、人力资源数据集、商场客户细分数据、酒店预订需求、客户性格分析数据、航空公司乘客满意度数据、亚马逊 50 年畅销书数据、人力资源分析数据、信用卡客户数据集、超市销售数据集、IBM HR Analytics 员工流失与绩效数据集。</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（2）医疗费用个人数据集、心脏病发作分析与</w:t>
            </w:r>
            <w:r>
              <w:rPr>
                <w:rFonts w:hint="eastAsia" w:ascii="宋体" w:hAnsi="宋体" w:cs="宋体"/>
                <w:color w:val="auto"/>
                <w:szCs w:val="21"/>
                <w:highlight w:val="none"/>
                <w:lang w:val="zh-CN"/>
              </w:rPr>
              <w:t xml:space="preserve">预测数据集、视频游戏销售数据、Netflix 电影和电视节目数据、巴西电子商务产品数据集、巴西电子商务订单评论数据集、电信客户流失数据、鸢尾花种类数据、新型冠状病毒数据集、巴西电子商务卖家数据集、巴西电子商务订单数据集、巴西电子商务支付数据集。巴西电子商务订单项数据集、巴西电子商务客户数据集、电子商务客户流失分析和预测数据、消费者商品交易调研清单数据、数字营销转化数据集、电商购物用户行为分析数据、巴西电子商务地理位置数据集、女士电子商务服装评论数据、天猫订单真实成交数据、淘宝母婴购物数据、信用评分分类数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金融贷款审批预测数据、ADNOC历史股票价格数据、以太坊历史数据集、全球电动汽车销量数据、2015年至2016年的每日温度数据、印度的信用卡消费习惯数据、亚马逊公司历史股票价格数据、欧洲杯决赛仪表盘数据、学生成绩数据集、全球空气质量数据集、制造缺陷数据集。</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（4）美国Al和ML职位列表数据、2018-2024年电气士耳基PTF市场数据、英伟达股价数据集、使命召唤手游数据集、2023年全球繁荣指数数据、NBA 2023-24赛季所有球员数据、SBI股价数据集、增强型健康保险索赔数据集、最新电影数据集。</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（5）药物合成数据、食品掺假数据集、2024年欧洲和国际音乐节数据、人力资源保留数据、员工流失与绩效数据、跨性别权利指标项目数据、自然灾害如何影响该地区的劳动力市场、生物经济学数据、CVS Health历史股票数据、综合财务数据集、欧洲杯决赛仪表板、苹果股票数据、埃克森美孚股价数据、印度数据分析师职位空缺数据集、泰坦尼克号数据集、用于质量控制的数据。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（6）手机价格预测清理数据集、2010年至 2020年汽车规格的综合数据集、全球可再生能源和指标数据集、2019年至2020年热门YouTube视频数据、十耳其共和国中央银行基本面数据数据、印度衣作物产量数据、社交媒体的阴暗面数据、世界婚姻数据集、电子商务点击流和交易数据集、有史以来排名前 100 位的电影数据、美国房价数据、医疗费用数据、心脏病数据、歌曲数据集。</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14、案例集锦：包括金融学、财务会计、市场营销、工商管理、人力资源、物流管理、国际经济与贸易、医疗健康等行业不少于80个python案例，支持案例收藏、案例运行、代码复制、相关数据文件下载等。基于内置数据，可以在线运行jupyter lab编译环境，支持python语言、R语言，支持notebook在线编程运行。主要包括以下案例：</w:t>
            </w:r>
            <w:r>
              <w:rPr>
                <w:rFonts w:hint="eastAsia" w:ascii="宋体" w:hAnsi="宋体" w:cs="宋体"/>
                <w:b/>
                <w:bCs/>
                <w:color w:val="auto"/>
                <w:szCs w:val="21"/>
                <w:highlight w:val="none"/>
                <w:lang w:val="zh-CN"/>
              </w:rPr>
              <w:t xml:space="preserve">（提供软件功能截图）</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提供智能推荐系统、金融产品交又销售、综合案例:中医病症辩证关联规则分析、Apriori算法的代码实现、智能推荐系统、新闻聚类分群模型、广告收益回归预测、客户违约预测模型、金融反欺诈模型、产品定价模型、AdaBoost信用卡精准营销模型、股票涨跌预测模型搭建、员工离职预测模型搭建、手写数字识别模型、肿瘤预测模型、案股票客户流失预警模型、股票数据读取与K线图绘制、银行产品精准营销等案例。</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提供个人信用违约预测与信用评分卡设计、财经新闻可信度分析、电商评论文本分析、我国家庭资产影响因素分析、海上风力发电预测、基于深度学习的锂电池寿命预测、上市银行财务指标对比、轮廓系数客户聚类、、中国高票房电影分析、中国A股的月份效应研究、财经新闻爬虫和可视化分析、基于神经网络的AQI多步预测(空气质量预测)、超市零售购物篮关联分析(apriori)等案例。</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（3）提供基于分位数神经网络(QRNN)的汇率预测、网飞影视剧数据分析及其可视化、我国个人工作总收入影响因素分析、</w:t>
            </w:r>
            <w:r>
              <w:rPr>
                <w:rFonts w:hint="eastAsia" w:ascii="宋体" w:hAnsi="宋体" w:cs="宋体"/>
                <w:color w:val="auto"/>
                <w:szCs w:val="21"/>
                <w:highlight w:val="none"/>
                <w:lang w:val="zh-CN"/>
              </w:rPr>
              <w:t xml:space="preserve">灰色预测法预测时间序列数据、电商直播间评论可视化分析(LDA)、北向资金流入与沪深300涨跌幅分析、航空公司客户聚类分析、电商直播间成交金额预测、预测泰坦尼克号乘员的生存(机器学习全流程)、基于CNN-BiLSTM的沪深300收盘价预测、二手车估价、现代人的婚育意愿调查分析(基于逻辑回归模型和问卷数据)、Fama-French回归模型资产定价(三因子五因子)、影响经济增长的因素(随机森林回归)、基于模态分解和深度学习的电负荷量预测、基于融合模型(Stack)的电商用户购买行为预测、天气K均值聚类分析等案例。</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提供电力系统异常值监测、笔记本电脑价格影响因素分析、Keras实现Transformer中文文本十分类、二手房价格影响因素分析、基于机器学习的垃圾邮件分类系统构建、Keras实现注意力机制(self-attention)中文的文本情感分类、自动获取指定上市公司的所有财务数据等案例。</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15、组件代码：包含python基本操作、读取数据、数据处理、特征选择、统计分析、可视化、机器学习、深度学习、模型评估、常见报错及解决办法等模块相关功能代码示例，支持代码复制及运行。基于内置数据，可以在线运行jupyter lab编译环境，支持python语言、R语言，支持notebook在线编程运行。</w:t>
            </w:r>
            <w:r>
              <w:rPr>
                <w:rFonts w:hint="eastAsia" w:ascii="宋体" w:hAnsi="宋体" w:cs="宋体"/>
                <w:b/>
                <w:bCs/>
                <w:color w:val="auto"/>
                <w:szCs w:val="21"/>
                <w:highlight w:val="none"/>
                <w:lang w:val="zh-CN"/>
              </w:rPr>
              <w:t xml:space="preserve">（提供软件功能截图）</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16、系统的实验演练及实战考核包括以下模块内容，涵盖客观题、实验案例、Python源代码等内容。每个编程案例包括知识学习、编程提示、练习题三大模块，编程题以填写关键代码进行实验。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17、认知Python基础概念，涵盖python代码格式、标识符和关键字、变量和数据类型、数字类型、运算符等内容，提供不少于20个实验案例。每个案例包括知识学习、编程提示、练习题三大模块，以填写关键代码进行实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18、认知函数与库，涵盖函数的定义和调用、函数参数的传递、函数的返回值、变量的作用域、特殊形式的函数等内容，提供不少于12个实验案例。每个案例包括知识学习、编程提示、练习题三大模块，以填写关键代码进行实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19、编写Python典型语句，涵盖条件语句、循环语句、调整语句等内容，提供不少于14个实验案例。每个案例包括知识学习、编程提示、练习题三大模块，以填写关键代码进行实验。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20、NumPy数值计算基础，涵盖NumPy数值对象ndarray、NumPy矩阵与通用函数、NumPy 进行统计分析等内容，提供不少于3个实验案例。</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21、pandas统计分析基础，涵盖读写不同数据源的数据、掌握DataFrame的常用操作、转换与处理时间序列数据、使用分组聚合进行组内计算、创建透视表与交叉表等内容，提供不少于5个实验案例。</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22、matplotlib数据可视化基础，涵盖了解绘图基础语法与常用参数、分析特征间的关系、分析特征内部数据分布与分散状况等内容。</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23、使用pandas进行数据预处理，涵盖合并数据、清洗数据、标准化数据、转换数据。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24、sklearn构建模型基础，涵盖使用sklearn转换器处理数据、构建并评价聚类模型、构建并评价分类模型、构建并评价回归模型等内容。</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25、金融数据爬取，涵盖金融数据来源的确认和环境配置、证券基本信息数据的获取与保存、证券行情数据的获取与保存、经济数据的获取与保存、经济金融舆情数据的获取与保存等内容。</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26、资产定价模型案例，涵盖计算不同权重组合下的期望收益率、方差以及Sharpe比率、资本市场线的求解&amp;绘制、使用CAPM模型求解股票预期收益率等内容。</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27、计算收益与风险案例，涵盖计算股票的夏普比率值、股票K线图与均线图的绘制、计算指数平均数指标（EMA）、平滑异同平均线(MACD)的绘制等内容。</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28、银行产品精准营销案例，涵盖营销数据的清洗与整理、营销数据的可视化分析、营销分类模型的建立、营销模型的精度评价分析案例等内容。</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29、保险欺诈识别案例， 涵盖保险欺诈数据的清洗与整理、保险欺诈数据的可视化分析、保险欺诈数据的识别分析、保险欺诈模型的精度评价等内容。</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30、系统提供多种数据源读取操作功能，包括连接PostgreSQl、读取Excel文件、读取文本文件、读取pickle文件、读取Hive数据库、读取SQL数据库、读取TXT文件、读取CSV文件、读取MySQL数据库、批量读取图像数据相关操作和代码案例。</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31、系统提供数据预处理算法案例模块，包括去除所有重复数据、归一化、多项式数据变换、二值化、类别转数字、特征缩放、数据分割、多列合并为一列、图像预处理、采样、数据合并-Merge、缺失值填充、Ordinal编码、One-Hot编码、正则化、文本预处理、分词、去停用词、词性标注。</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32、系统提供特征选择算法分析模块，包括线性判别分析法(LDA)、递归特征消除法、相关系数选择法、方差选择、互信息选择法、基于树模型、卡方检验法、基于惩罚值、PCA主成分分析算法、TSNE-t分布邻域嵌入算法。</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34、系统提供统计分析功能模块，包括数据透视表、交叉表、皮尔森相关系数、最大互信息数、K平均数算法、正态检验、威布尔分布检验、相关性系数矩阵、T检验-单样本、T检验-双样本、卡方检验、F检验、ANOVA、Mann-Whitney检验、Kruskal-wVallis检验、词频统计、TF-IDF。</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35、系统支持可视化案例，包括柱状图、单变量分布图、二维分布、分类散点图、箱形图、点图、小提琴图、计数图、双变量分布、无重叠点的分类散点图、饼图、折线图、相关系数热力图、词云。</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36、系统提供机器学习算法案例，包括聚类-LDA主题模型、随机梯度下降(SGD)、逻辑回归(LR)、分类树(Tree)、随机森林(RandomForest)、支持向量机(SVM)、朴素贝叶斯(NaiveBayesian)、AdaBoostClassifier、GBDT(梯度加速决策树)、K-Means、LightGBMM、XGBoost、K近邻、线性回归。</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37、系统提供深度学习案例，包括神经网络-ConVLSTM、神经网络-FasterRCNN、神经网络-CRNN、神经网络-DBN、神经网络-TextCNN、神经网络-MLP、模型训练-文本分类、模型推理-文本分类、模型数据加载。</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38、系统支持模型评估案例，包括二分类模型评估-sklearn、回归模型评估-sklearn、聚类模型评估、多分类模型评估、PR曲线、混淆矩阵。</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）云服务器</w:t>
            </w:r>
            <w:r>
              <w:rPr>
                <w:rFonts w:hint="eastAsia" w:ascii="宋体" w:hAnsi="宋体" w:cs="宋体"/>
                <w:color w:val="auto"/>
                <w:szCs w:val="21"/>
                <w:highlight w:val="none"/>
              </w:rPr>
              <w:t xml:space="preserve">及数据对接服务</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提供运维质保期为五年，五年内同版本产品提供免费升级服务；服务内容包括安装、调试、培训、维护、远程咨询和远程处理问题等。根据用户要求，五年内根据使用情况，提供内容定制更新服务，支持用户进行内容更新和完善。</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2、提供永久云服务器线上服务，也可根据用户需求进行本地化部署。</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3、提供云服务器安全服务，阻拦病毒及网络攻击，保证软件安全运行。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4、提供硬盘快照服务，数据损坏可还原至一周前的数据。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5、根据用户要求，支持提供用户登录与招标方资源平台对接功能，提供API等对接接口。</w:t>
            </w:r>
            <w:r>
              <w:rPr>
                <w:rFonts w:hint="eastAsia" w:ascii="宋体" w:hAnsi="宋体" w:cs="宋体"/>
                <w:color w:val="auto"/>
                <w:szCs w:val="21"/>
                <w:highlight w:val="none"/>
                <w:lang w:val="zh-CN"/>
              </w:rPr>
              <w:tab/>
            </w:r>
            <w:r/>
          </w:p>
        </w:tc>
      </w:tr>
      <w:tr>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数智供应链实验实训系统</w:t>
            </w:r>
            <w:r/>
          </w:p>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83" w:type="dxa"/>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X-Suite制造云平台功能指标</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）研发管理</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1、平台应具备研发物料管理，支持研发物料类型按树形结构管理，支持新增物料，支持物料发布、废弃及同步至ERP系统，支持在物料列表页打开研发物料详情页，对相关物料清单进行查询，点击BOM创建按钮，可以跳转到BOM新增界面，并自动携带物料名称及物料编码到根件物料和物料编码。</w:t>
            </w:r>
            <w:r>
              <w:rPr>
                <w:rFonts w:hint="eastAsia" w:ascii="宋体" w:hAnsi="宋体" w:cs="宋体"/>
                <w:b/>
                <w:bCs/>
                <w:color w:val="auto"/>
                <w:szCs w:val="21"/>
                <w:highlight w:val="none"/>
                <w:lang w:val="zh-CN"/>
              </w:rPr>
              <w:t xml:space="preserve">（提供软件功能截图）</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2、平台应支持产品结构管理，支持BOM管理能力，支持新增EBOM，可以通过引用物料编辑子项，自动携带物料的相关属性，并支持一键同步至PBOM。</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平台应提具备工艺路线管理能力，支持新增工艺路线，系统预置不少于8种工序，5个工作中心，支持对工序自定义准备时间、加工时间及工作中心；支持对工艺路线进行发布及废弃，支持将工艺路线数据一键同步至ERP，在ERP端可以查询到新建的工艺路线数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4、平台应具备与ERP一体化协同能力，支持在菜单节点通过按钮，一键同步至ERP，可实现与ERP系统的实时数据传输。</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）生产计划管理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、平台具备生产计划系统，涵盖主生产计划（MPS）、物料需求计划（MRP）和产能计划。</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生产计划模块支持计划概览及初始化引导，支持包括计划参数、时格、供应商路径分配在内的基础设置，支持需求管理、多工厂供应计划、主生产计划、物料需求计划、计划模拟、能力计划、计划执行监控、查询、报表等生产计划相关业务处理能力，并支持穿透功能，可通过点击概览中的流程图标穿透到相关单据中。</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、生产计划支持依据销售订单、计划独立需求（销售预测）、组织间需求、调拨申请、调拨订单、物资清单、安全库存等独立需求，做为需求输入，进行MRP计划运算；</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、平台支持多种计划策略，并预置了常见的MTS、MTO、ATO策略，通过计划策略控制独立需求来源的获取方式，以及需求之间的冲销规则；平台支持多种计划方式，包括长周期计划、MPS计划、MRP计划；</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支持多工厂计划协同，平台支持通过计划委托关系定义参与计划运算的工厂范围；通过供应路径定义多工厂间的供需路径、优先级以及分配比例；支持按工厂、物料、工厂+物料、所有工厂等多维度分配计划供需关系。</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平台支持制定计划方案，设置供应计划运算时的运算范围、供需来源、运算规则等参数；支持新增计划运算，进行供应计划运算，并查询、显示所有供应计划运算记录；支持新增计划工作台，对供应计划运算产生的供应计划订单进行编辑、产能分流、审核、发布等操作。</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、平台具备需求管理能力，支持按工厂分别编制计划独立需求，支持内部独立需求，支持导入导出，支持全局联查。</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平台具备MPS工作台，支持使用MPS工作台对MPS运算的计划结果进行集中的查询和处理，支持计划订单下达生成下游单据-请购单、生产订单、委外请购单、委外订单，支持计划订单根据产能等情况进行拆分，支持根据计划订单查询其相关物料的供需明细和追溯信息；</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平台具备MRP工作台，支持使用MRP工作台对MRP运算的计划结果进行集中的查询和处理，支持计划订单下达生成下游单据-请购单、采购订单、生产订单、委外请购单、委外订单；支持根据计划订单查询其相关物料的供需明细和追溯信息。</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0</w:t>
            </w:r>
            <w:r>
              <w:rPr>
                <w:rFonts w:hint="eastAsia" w:ascii="宋体" w:hAnsi="宋体" w:cs="宋体"/>
                <w:color w:val="auto"/>
                <w:szCs w:val="21"/>
                <w:highlight w:val="none"/>
                <w:lang w:val="zh-CN"/>
              </w:rPr>
              <w:t xml:space="preserve">、平台具备供需资料查询，支持以“物料”为视角，查看物料相关的供需明细及汇总数据。使计划员更方便核对计划运算的结果；</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、平台支持计划模拟，支持按计划独立需求、销售订单进行计划模拟试算；支持库存模拟、计划模拟、交期模拟三种模拟类型；支持能力评估；</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具备计划执行监控能力，支持物料供需状态分析，从物料维度分析企业整体的供需状况，判断物料是否有缺料、超量、欠量等例外数据；支持物料供需明细分析：从工厂、物料、计划区域、跟踪线索维度分析物料实时供需明细状况；</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、平台具备预警提醒能力。支持销售订单未执行计划运算支持预警提醒；销售执行追踪表支持计划独立需求。</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、平台支持MTO计划模式，支持对物料设置MTO策略，自动生成MTO跟踪线索，支持MTO订单执行追踪，在按单生产模式下，跟踪销售订单相关的生产、采购、委外业务的执行状况。</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、平台具备产能计划能力，支持自定义排产方案，支持生产能力约束、工艺约束、换产时间约束等多种产能约束条件。</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16</w:t>
            </w:r>
            <w:r>
              <w:rPr>
                <w:rFonts w:hint="eastAsia" w:ascii="宋体" w:hAnsi="宋体" w:cs="宋体"/>
                <w:color w:val="auto"/>
                <w:szCs w:val="21"/>
                <w:highlight w:val="none"/>
                <w:lang w:val="zh-CN"/>
              </w:rPr>
              <w:t xml:space="preserve">、平台应支持排产方案设计，支持排产策略设计，应涵盖按当前日期正排、按订单交期倒排在内的不少于两种算法；支持启发式-禁忌搜索、启发式-自使用大领域搜索在内的不少于2中排产优化算法，支持包含迭代次数、最大运行时间、单次迭代换线次数在内的不少于4个参数的自定义设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17</w:t>
            </w:r>
            <w:r>
              <w:rPr>
                <w:rFonts w:hint="eastAsia" w:ascii="宋体" w:hAnsi="宋体" w:cs="宋体"/>
                <w:color w:val="auto"/>
                <w:szCs w:val="21"/>
                <w:highlight w:val="none"/>
                <w:lang w:val="zh-CN"/>
              </w:rPr>
              <w:t xml:space="preserve">、平台支持排产运算时可选择自动排产\手工排产\插单排产能3种运算方式，支持运算后查询运算日志，并支持将运算结果发布至计划工作台。</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18</w:t>
            </w:r>
            <w:r>
              <w:rPr>
                <w:rFonts w:hint="eastAsia" w:ascii="宋体" w:hAnsi="宋体" w:cs="宋体"/>
                <w:color w:val="auto"/>
                <w:szCs w:val="21"/>
                <w:highlight w:val="none"/>
                <w:lang w:val="zh-CN"/>
              </w:rPr>
              <w:t xml:space="preserve">、平台具备排产工作台，支持按计划组织定义查询方案，支持排产视图，排产视图应支持订单甘特图、订单二维表，加工中心甘特图、加工中心负荷图、物料-材料明细视图。</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19</w:t>
            </w:r>
            <w:r>
              <w:rPr>
                <w:rFonts w:hint="eastAsia" w:ascii="宋体" w:hAnsi="宋体" w:cs="宋体"/>
                <w:color w:val="auto"/>
                <w:szCs w:val="21"/>
                <w:highlight w:val="none"/>
                <w:lang w:val="zh-CN"/>
              </w:rPr>
              <w:t xml:space="preserve">、平台支持对能力运算结果进行报表查询，包括能力报表、能力明细报表、排产日志等不少于5种报表。</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）生产管理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生产管理支持集团及企业多组织、多元化经营模式下的生产活动管理，主要的业务处理包括生产订单日常维护、生产领料及完工入库，对生产进度和物料消耗进行实时管控，提升生产效率，优化流程及资源配置，降低生产成本。</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2、生产订单支持多来源生成，支持计划订单生成生产订单；支持销售订单生成生产订单；支持手工新增无来源生产订单；支持生产订单的导入（含子件导入，联副产品导入）；支持生产订单复制；</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计划下达生产，系统支持MPS、MRP计划运行以后的结果下达生产，支持根据选择的BOM生成对应的备料需求并进行领料；生产订单支持MTO生产，支持生产订单合并，支持生产订单自动生成批次号，支持序列号，支持订单临近开/完工预警、逾期和超量报警，支持单据条码，支持材料进行替代料处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、支持生产管理与库存管理应用协同，支持灵活库存交易及业务控制，支持生产订单领料、退料等业务，并且具备领料申请的处理，支持材料推拉式进行领料、退料，支持跨组织领料和入库。</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、支持生产订单完成后业务处理，支持完工报告进行质量检验，支持完工报告自动生产批次号；完工报告支持序列号，完工报告齐套检查支持柔性控制，并可考虑替代料情况进行检查。</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、平台支持日排产能力，支持自定义日排产方案，支持最大产能正排、倒排；支持产线优先正排、倒排；</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生产管理利用平台具备的通用能力，支持个性化设置，支持UI模板设计器，支持生产主管角色工作台，支持移动生产，包括移动生产订单处理和移动完工报告，生产订单和完工报告支持单据条码，生成订单支持业务流设计。</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、生产管理具备生产订单缺料分析、生产订单综合查询、生产订单明细表、生产订单用量分析、生产订单预警和报警、生产执行月度报表、生产数智化分析报表等生产报表。</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、生产订单支持标准生产、完工报告、工序流转模式、车间任务模式、返工生产等五种交易类型，在系统中应对应五种不同的业务流程，适用于企业的多种生产场景。</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、平台支持自定义齐套分析方案，自定义供应来源，支持在计划管理环节、生产管理环节分别进行齐套分析管控。</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）车间管理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应具备企业车间现场执行业务管理能力，管理和监控各生产订单工序的执行情况，及时调整安排各工序的开工时间和完工时间，并将加工任务指定给具体执行的设备、人员及班组。支持企业常见的两种加工组织模式：任务模式、流转卡模式。</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支持对已经审核确认的生产订单，依据生产订单工序表创建车间级工序作业计划，用来记录车间的生产任务，指导生产现场执行，支持多个工序作业计划批量派工到同一个设备、人员、班组；支持一个工序作业计划分派到多人、多设备、多班组；支持工序领料；支持任务派工工作台；支持车间任务调度工作台；支持工序作业计划修改批次号。</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平台支持对已经审核确认的生产订单创建工序流转卡，每张卡记录对应订单号、加工批次、加工批量，计划起止时间，以及流转的所有工序内容。工序流转卡随加工实物进行流转，每道工序加工完成后汇报对应工序完成情况；支持依据生产订单的交易类型的加工组织模式为“流转卡”，创建工序流转卡；支持工序领料；</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、平台支持工序任务汇报，支持工序作业计划/工序流转卡通过推拉单生成工序任务汇报；支持自检、车间检验、质量检验；支持PC端扫码报工；</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、平台支持返工处理，支持报废补投、在制交接、工时汇报、作业耗用申报；</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、平台支持订单工序状况综合查询、移动端订单进度总览、移动端订单工序进度查询、工序完工统计-按工作中心、工序流转卡完工状况表、订单工序任务分派明细表等多种报表能力；</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五</w:t>
            </w:r>
            <w:r>
              <w:rPr>
                <w:rFonts w:hint="eastAsia" w:ascii="宋体" w:hAnsi="宋体" w:cs="宋体"/>
                <w:color w:val="auto"/>
                <w:szCs w:val="21"/>
                <w:highlight w:val="none"/>
                <w:lang w:val="zh-CN"/>
              </w:rPr>
              <w:t xml:space="preserve">）委外管理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、平台具备委外参数设置功能，支持对不同业务组织分别进行参数设置，支持不少于20种类型的参数配置；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、平台具备委外管理功能，支持实现从签订委外订单开始，到委外发料、委外加工品入库，再根据入库收票结算，最后计算委外成本的全过程委外管理数字化；</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、平台具备委外管理概览能力，可实现委外管理全流程展示，并支持不少于15种单据的穿透功能</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4、平台具备委外管理初始化能力，支持进度条查看初始化设置进度，并支持不少于20种初始化设置相关单据的穿透功能。支持委外期初业务初始化；</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、平台支持包含委外申请单、委外申请变更、委外到货安排、委外退货、委外缺料分析、委外齐套分析、委外到冲等不少于10种的特殊委外业务的数字化处理功能；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、平台具备多种单据来源下的委外订单处理，支持不少于4种的委外订单单据来源，2种委外订单交易类型；</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、平台具备包含委外订单执行情况、委外材料出库查询、委外材料收发明细、委外订单预警和报警、委外时效性统计表等不少于10种报表分析能力。</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六</w:t>
            </w:r>
            <w:r>
              <w:rPr>
                <w:rFonts w:hint="eastAsia" w:ascii="宋体" w:hAnsi="宋体" w:cs="宋体"/>
                <w:color w:val="auto"/>
                <w:szCs w:val="21"/>
                <w:highlight w:val="none"/>
                <w:lang w:val="zh-CN"/>
              </w:rPr>
              <w:t xml:space="preserve">）生产分析</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、平台应具备综合分析、生产执行效率分析、生产产出主题分析三大分析能力。系统通过数据分析和可视化技术，将生产数据转化为直观的图表，帮助管理层做出决策。</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具备生产管控看板，支持按组织、部门、物料、物料分类维度查询生产数据，按本周、本月、本年及指定时间范围定义查询条件；看板应支持生产完成率、订单总数、在制订单、完工订单、逾期完工、生产合格率、生产报废率、生产返工率在内的不少于10个指标可视化；支持物料分类产出结构、产出趋势、生产完成率、逾期完工率Top10、生产合格率、生产现场缺料展示Top5分析。</w:t>
            </w:r>
            <w:r>
              <w:rPr>
                <w:rFonts w:hint="eastAsia" w:ascii="宋体" w:hAnsi="宋体" w:cs="宋体"/>
                <w:b/>
                <w:bCs/>
                <w:color w:val="auto"/>
                <w:szCs w:val="21"/>
                <w:highlight w:val="none"/>
                <w:lang w:val="zh-CN"/>
              </w:rPr>
              <w:t xml:space="preserve">（提供软件功能截图）</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平台具备车间管控看板，支持车间任务的加工进度、工序产量、工序质量情况，便于及时发现问题，进行改良改善；支持车间任务的完成率、任务数、在制任务数、逾期开完工任务数、合格率、报废率、返工率等综合分析；支持按物料维度展示物料的累计完工数量、累计合格数量、合格率信息的产品合格率分析；支持工序完成率、工序逾期完成率、车间产量排名、工序不良率TOP5等不少于10个分析指标的分析可视化；</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、平台具备生产执行效率主题分析，包含生产日报、生产月报、生产预期、生产缺料、工序计划达成在内的不少于5个主题分析；</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5、平台具备生产产出主题分析，包含生产完成分析、生产合格率分析、工序产量分析、工序质量分析在内的不少于4个主题分析；</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七</w:t>
            </w:r>
            <w:r>
              <w:rPr>
                <w:rFonts w:hint="eastAsia" w:ascii="宋体" w:hAnsi="宋体" w:cs="宋体"/>
                <w:color w:val="auto"/>
                <w:szCs w:val="21"/>
                <w:highlight w:val="none"/>
                <w:lang w:val="zh-CN"/>
              </w:rPr>
              <w:t xml:space="preserve">）质量管理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具备质量检验、质量追溯、质量管理工作台，包含质量管理概览、检验计划、检验过程、请检、样品管理、检验、检验工作台、不良品处理、报表等检验的基本业务数字化管理能力；质量概览支持流程图查看以及不少于20种业务表单的穿透能力；</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、平台具备质量检验初始化能力，支持进度条查看初始化设置进度，并支持不少于20种初始化设置相关单据的穿透功能。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、平台支持来料检、工序检等不少于5种企业管理不同阶段进行请检验、检验的流程；</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、平台支持定义质量参数、质量等级、检测方法、检测依据等不少于10种质量基础资料档案，并支持全检验、抽检、破坏性检验等不少于3种的检验方式；</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、平台支持质量追溯管理，支持设置追溯方案，支持数据收集，支持包含正向追溯、逆向追溯及车间流转追溯在内的不少于3种质量追溯场景；</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、平台具备质量管控看板，支持综合分析，支持包含采购质量分析、生产质量分析、质量问题分析在内的不少于5项质量检验主题分析。</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八</w:t>
            </w:r>
            <w:r>
              <w:rPr>
                <w:rFonts w:hint="eastAsia" w:ascii="宋体" w:hAnsi="宋体" w:cs="宋体"/>
                <w:color w:val="auto"/>
                <w:szCs w:val="21"/>
                <w:highlight w:val="none"/>
                <w:lang w:val="zh-CN"/>
              </w:rPr>
              <w:t xml:space="preserve">）供应链管理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、平台应具备销售服务、采购供应功能模块，其中采购供应中包含采购管理、库存管理；销售服务应包含销售管理和内部交易。</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应具备采购供应管理功能，具备采购管理概况，支持采购流程导航，支持通过流程导航穿透至诸如采购订单、采购发票等导航中采购业务界面；支持采购报表分析，包括请购、订单、到货、入库、结算环节的报表分析，预置报表数量不少于10张；</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平台应支持配置采购参数，能够对价格、汇率、超量控制、公共进行配置，可以对实时取价进行设置，对取价方式进行手工录入、价格目录、最新采购价三种方式的设置，对计税方式进行行计税或整单计税进行设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、平台支持销售价格管理能力，提前预置产品价格，支持在销售订单中对产品执行自动取价。</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、平台支持采购价格管理能力，并预置物料价格，支持自动取价功能。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、平台具备库存管理功能，具备库存管理概览，支持库存流程导航，支持通过流程导航穿透至诸如采购入库、产品入库等导航中库存流程各节点业务界面；</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、平台应支持库存业务参数设置，总数不少于30个，其中不少于5个出入库参数，不少于5个盘点参数；支持自动拣货、批号管理、有效期管理．支持库存报表功能，具备库存预警、现存量等能力。</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、平台具备销售管理功能，支持销售管理概览能力，帮助学生理解销售管理业务流程，支持销售参数设置，数量不少于20个，具备销售管理报表服务，预置报表不少于10张。</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九</w:t>
            </w:r>
            <w:r>
              <w:rPr>
                <w:rFonts w:hint="eastAsia" w:ascii="宋体" w:hAnsi="宋体" w:cs="宋体"/>
                <w:color w:val="auto"/>
                <w:szCs w:val="21"/>
                <w:highlight w:val="none"/>
                <w:lang w:val="zh-CN"/>
              </w:rPr>
              <w:t xml:space="preserve">）成本管理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、平台应支持会计期间设置，支持关账、结账，支持进行当前年度之后期间的业务往来。</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、平台支持总账概览能力，具备与总账业务相关的流程导航，并支持不少于10个相关表单的穿透功能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、平台具备总账初始化能力，支持进度条查看初始化设置进度，并支持不少于15种初始化设置相关单据的穿透功能。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、平台支持总账参数设置能力，包括自动审核、自动记账、凭证现金流量主表分析的检查环节、辅助核算项显示方式等不少于30项参数设置内容</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、平台支持引用预置的科目表，支持专合社科目表、小企业科目表、基准科目表等不少于五种的预制科目表类型</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平台支持存货核算通过系统的方法，完成对出入库业务成本核算、采购暂估业务的财务处理、内部交易业务的自动识别、存货成本的调整等，及时准确的核算各个事项的入库成本、出库成本和结余成本。将各类存货成本准确归集到各存货对象上，为企业全面成本管理、成本分析具备可靠、及时的财务数据。</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7、平台支持存货核算功能概览与流程导航，支持不少于20个相关表单的穿透功能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、平台支持产品成本功能来实现制造企业财务业务一体化， 帮助企业对采购或生产加工产品的价值进行记录、计量、归集、分配，提高成本核算的快捷性、准确性，有效实现企业在采购、生产、销售个业务环节方面的精细化管理、控制，辅助企业战略投资、决策、考核，从而达到效益、利润最大化。产品成本主要包括：基础设置、期初管理、成本资料归集、成本核算、期末处理、报表查询等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、平台支持按照核算目的与会计主体的维度进行产品成本参数设置，包括核算方法设置、累计投产推算依据、产品完全报废处理方法等不少于15项参数功能设置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、平台支持自定义成本分配方法，分配指标，分配方案，分配对象，分配规则等，并具备不少于25种预制分配指标</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、平台支持产品成本期初配置到卷积计算到产品成本期末处理的全产品成本管理流程，并支持生成事项分录与总账凭证，实现业财一体化管理</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、平台支持产品成本的账表查询，包括投入产出汇总表、订单成本明细表等不少于10种账表分析功能。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平台整体能力</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、平台应具备数字化建模能力，支持组织管理、权限管理、业务流程、基础数据等配置服务，满足学生针对不同行业案例进行自主建模。</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、支持统一的数据分级管控，统一维护档案的维护权和数据共享权。</w:t>
            </w:r>
            <w:r/>
          </w:p>
          <w:p>
            <w:pPr>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平</w:t>
            </w:r>
            <w:r>
              <w:rPr>
                <w:rFonts w:hint="eastAsia" w:ascii="宋体" w:hAnsi="宋体" w:cs="宋体"/>
                <w:color w:val="auto"/>
                <w:szCs w:val="21"/>
                <w:highlight w:val="none"/>
                <w:lang w:val="zh-CN"/>
              </w:rPr>
              <w:t xml:space="preserve">台应具备流程管理能力，支持工作流设计及业务流设计，具备图形化的流程设计器进行流程建模。业务流设计支持通过拖拉拽的方式配置基于单据组件的业务流程，其中单据信息应支持不少于3种动作规则配置，应支持包含黄色、紫色、蓝色等不少于5种主题色配置；推单规则应具备不少于7种触发设置，具备不少于3种生单推送方式；转换规则支持目标单据、目标字段的选择配置，支持常量、简单映射、公式计算三种关联选择，支持来源单据、来源字段的选择配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、平台应支持角色化设计，预置不少于45个角色工作台，支持工作台和角色关联，拥有对应角色用户登录展示对应工作台；支持在工作台管理中自行创建工作台，通过工作台设计器设计个人工作台。</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、平台支持初始化功能，展示为完成业务需要做的设置，并可以从初始化中跳转至对应业务节点，不低于10个初始化功能；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、预置多种角色类型：业务类、管理类、通用类，支持新增、修改业务类、管理类角色，预置固定角色不少于100种；</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平台应预置数据权限，分岗匹配相应的角色与权限，组长具备查看与修改组员操作内容权限。平台支持按照档案视角和组织视角两种视角配置基础数据权限的能力，支持不少于30种的基础数据分级管理能力，并支持自动将上级数据权限共享给下级；</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平台具备业务全局联查能力，可以从任一业务单据页面联查上下游业务单据。联查图应支持单据流可视化展示，上下游单据之间用箭头标注业务流转顺序，点击相应单据节点应能够穿透到对应业务页面，支持全局追溯。</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平台应支持仪表板功能，应支持不少于50种的可视化组件，包含图形、表格、筛选器、多页签、图片、文本、容器、时钟、地图等。支持学生通过拖拽可视化方式创建综合分析界面，支持图表设置交互如联动、链接、钻取等；支持动效设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、平台支持UI模版功能，支持自定义字段所在位置，字段是否可见、是否必填、默认值与自定义公式等功能</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、平台支持单据导入导出功能，支持自定义导入导出模版，增加减少相关字段。允许用户将系统中的业务单据数据以标准格式导入或导出，便于数据交换、备份和批量操作。</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、平台支持批量修改功能，支持将所选范围内的数据通过批量修改功能统一进行修改。</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课程模块功能指标</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平台应具备不少于8个教学项目，包含制造业数智化转型项目准备、产供销协同典型业务应用、多工厂计划协同、数智化采购供应管理、数智化生产运营管理、数智化生产成本管理、设计制造一体化产品研发管理、数智转型项目复盘与创新等项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平台应预置一套制造业多组织无人机案例数据供教学使用，预置数据应包含不少于60套的组织数据，且每套组织数据要求至少包含3家企业、10个部门；包含不少于10家供应商数据，10家客户数据，20种及以上的物料数据；</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、平台应具备一套预置的工程数据适配教学，应包含不少于5种预置物料清单BOM数据，不少于10种预置标准工序，不少于3种工艺路线。</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、平台应集成仿真的电商平台，实现电商订单数据与ERP系统数据集成；支持通过PC端及移动端登录访问商城，商城中应预置不少于3种产品，支持通过电商平台选品下单，数据自动传递至ERP系统，生成销售订单。</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平台应支持单班级不少于60名学生同时开展课程学习，系统支持1-3人灵活组队，从而支持单人全岗练习或者多人合作练习两种学习模式，平台可根据学生团队中心上岗情况，自动实现学习账号与真实企业系统账号的匹配，实现各组建数据隔离，各组内组织及权限的自动分配；</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、平台支持甄别功能，可根据产业级真实平台实践结果，自动甄别正确答案，自动计算任务得分，支持操作结果与正确结果的对比显示。</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、平台应具备包含PPT、EXCEL、视频等多种形式的教学资源，支持学生自主学习；</w:t>
            </w:r>
            <w:r/>
          </w:p>
          <w:p>
            <w:pPr>
              <w:rPr>
                <w:rFonts w:hint="eastAsia"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支持课程图谱，包括不少于10个项目、20个知识点、30个能力项，项目、知识点和能力项通过不同颜色进行展示，支持按能力项名称进行查询，支持双击能力项，展示对应能力概述并给出该能力项对应的训练单元汇总；支持双击单元项，展示相关的所有知识及能力。</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9、支持能力图谱，不少于10个能力项，支持双击能力项查看该能力项相关联的所有能力实践任务及学习资源，通过能力实践直接跳转至该任务操作界面。</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云服务器</w:t>
            </w:r>
            <w:r>
              <w:rPr>
                <w:rFonts w:hint="eastAsia" w:ascii="宋体" w:hAnsi="宋体" w:cs="宋体"/>
                <w:color w:val="auto"/>
                <w:szCs w:val="21"/>
                <w:highlight w:val="none"/>
              </w:rPr>
              <w:t xml:space="preserve">及数据对接服务</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提供运维质保期为五年，五年内同版本产品提供免费升级服务；服务内容包括安装、调试、培训、维护、远程咨询和远程处理问题等。根据用户要求，五年内根据使用情况，提供内容定制更新服务，支持用户进行内容更新和完善。</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2、提供永久云服务器线上服务，也可根据用户需求进行本地化部署。</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3、提供云服务器安全服务，阻拦病毒及网络攻击，保证软件安全运行。</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4、提供硬盘快照服务，数据损坏可还原至一周前的数据。</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5、根据用户要求，支持提供用户登录与招标方资源平台对接功能，提供API等对接接口。</w:t>
            </w:r>
            <w:r>
              <w:rPr>
                <w:rFonts w:hint="eastAsia" w:ascii="宋体" w:hAnsi="宋体" w:cs="宋体"/>
                <w:color w:val="auto"/>
                <w:szCs w:val="21"/>
                <w:highlight w:val="none"/>
                <w:lang w:val="zh-CN"/>
              </w:rPr>
              <w:tab/>
            </w:r>
            <w:r/>
          </w:p>
        </w:tc>
      </w:tr>
    </w:tbl>
    <w:p>
      <w:pPr>
        <w:rPr>
          <w:color w:val="auto"/>
          <w:highlight w:val="none"/>
        </w:rPr>
      </w:pPr>
      <w:r>
        <w:rPr>
          <w:color w:val="auto"/>
          <w:highlight w:val="none"/>
        </w:rPr>
      </w:r>
      <w:bookmarkEnd w:id="318"/>
      <w:r/>
      <w:bookmarkEnd w:id="319"/>
      <w:r/>
      <w:bookmarkEnd w:id="320"/>
      <w:r/>
      <w:bookmarkEnd w:id="321"/>
      <w:r/>
      <w:bookmarkEnd w:id="322"/>
      <w:r/>
      <w:bookmarkEnd w:id="323"/>
      <w:r/>
      <w:bookmarkEnd w:id="324"/>
      <w:r/>
      <w:r/>
    </w:p>
    <w:p>
      <w:pPr>
        <w:ind w:firstLine="422"/>
        <w:jc w:val="left"/>
        <w:spacing w:line="360" w:lineRule="auto"/>
        <w:rPr>
          <w:rFonts w:hint="eastAsia" w:ascii="宋体" w:hAnsi="宋体" w:cs="宋体"/>
          <w:b/>
          <w:bCs/>
          <w:color w:val="auto"/>
          <w:highlight w:val="none"/>
        </w:rPr>
      </w:pPr>
      <w:r>
        <w:rPr>
          <w:rFonts w:hint="eastAsia" w:ascii="宋体" w:hAnsi="宋体" w:cs="宋体"/>
          <w:b/>
          <w:bCs/>
          <w:color w:val="auto"/>
          <w:szCs w:val="21"/>
          <w:highlight w:val="none"/>
        </w:rPr>
        <w:t xml:space="preserve">四、实施要求</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1、服务期限：自合同签订之日起30个日历日</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2、服务地点：采购人指定地点</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3、付款方式：签订合同后1</w:t>
      </w:r>
      <w:r>
        <w:rPr>
          <w:rFonts w:ascii="宋体" w:hAnsi="宋体" w:cs="宋体"/>
          <w:color w:val="auto"/>
          <w:highlight w:val="none"/>
        </w:rPr>
        <w:t xml:space="preserve">5</w:t>
      </w:r>
      <w:r>
        <w:rPr>
          <w:rFonts w:hint="eastAsia" w:ascii="宋体" w:hAnsi="宋体" w:cs="宋体"/>
          <w:color w:val="auto"/>
          <w:highlight w:val="none"/>
        </w:rPr>
        <w:t xml:space="preserve">个工作日内支付合同金额的</w:t>
      </w:r>
      <w:r>
        <w:rPr>
          <w:rFonts w:ascii="宋体" w:hAnsi="宋体" w:cs="宋体"/>
          <w:color w:val="auto"/>
          <w:highlight w:val="none"/>
        </w:rPr>
        <w:t xml:space="preserve">40%</w:t>
      </w:r>
      <w:r>
        <w:rPr>
          <w:rFonts w:hint="eastAsia" w:ascii="宋体" w:hAnsi="宋体" w:cs="宋体"/>
          <w:color w:val="auto"/>
          <w:highlight w:val="none"/>
        </w:rPr>
        <w:t xml:space="preserve">，验收合格后1</w:t>
      </w:r>
      <w:r>
        <w:rPr>
          <w:rFonts w:ascii="宋体" w:hAnsi="宋体" w:cs="宋体"/>
          <w:color w:val="auto"/>
          <w:highlight w:val="none"/>
        </w:rPr>
        <w:t xml:space="preserve">5</w:t>
      </w:r>
      <w:r>
        <w:rPr>
          <w:rFonts w:hint="eastAsia" w:ascii="宋体" w:hAnsi="宋体" w:cs="宋体"/>
          <w:color w:val="auto"/>
          <w:highlight w:val="none"/>
        </w:rPr>
        <w:t xml:space="preserve">个工作日支付5</w:t>
      </w:r>
      <w:r>
        <w:rPr>
          <w:rFonts w:ascii="宋体" w:hAnsi="宋体" w:cs="宋体"/>
          <w:color w:val="auto"/>
          <w:highlight w:val="none"/>
        </w:rPr>
        <w:t xml:space="preserve">5%</w:t>
      </w:r>
      <w:r>
        <w:rPr>
          <w:rFonts w:hint="eastAsia" w:ascii="宋体" w:hAnsi="宋体" w:cs="宋体"/>
          <w:color w:val="auto"/>
          <w:highlight w:val="none"/>
        </w:rPr>
        <w:t xml:space="preserve">，剩余5</w:t>
      </w:r>
      <w:r>
        <w:rPr>
          <w:rFonts w:ascii="宋体" w:hAnsi="宋体" w:cs="宋体"/>
          <w:color w:val="auto"/>
          <w:highlight w:val="none"/>
        </w:rPr>
        <w:t xml:space="preserve">%</w:t>
      </w:r>
      <w:r>
        <w:rPr>
          <w:rFonts w:hint="eastAsia" w:ascii="宋体" w:hAnsi="宋体" w:cs="宋体"/>
          <w:color w:val="auto"/>
          <w:highlight w:val="none"/>
        </w:rPr>
        <w:t xml:space="preserve">作为质保金，验收合格一年后无息付清。</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4、质保期要求：质保5年，质保期内提供免费升级和维护（升级到最新版本）</w:t>
      </w:r>
      <w:r/>
    </w:p>
    <w:p>
      <w:pPr>
        <w:ind w:firstLine="422"/>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w:t>
      </w:r>
      <w:r/>
    </w:p>
    <w:p>
      <w:pPr>
        <w:ind w:firstLine="422"/>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根据《关于推动解决政府采购异常低价问题相关工作的通知》（苏财购〔2025〕62号）的规定如下：</w:t>
      </w:r>
      <w:r/>
    </w:p>
    <w:p>
      <w:pPr>
        <w:ind w:firstLine="422"/>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（一）评审过程中出现下列情形之一的，评审委员会应当启动异常低价投标（响应）审查程序：</w:t>
      </w:r>
      <w:r/>
    </w:p>
    <w:p>
      <w:pPr>
        <w:ind w:firstLine="422"/>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1．投标（响应）报价低于采购项目预算50%的，即投标（响应）报价&lt;采购项目预算×50%；</w:t>
      </w:r>
      <w:r/>
    </w:p>
    <w:p>
      <w:pPr>
        <w:ind w:firstLine="422"/>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2．投标（响应）报价低于采购项目最高限价45%的，即投标（响应）报价&lt;采购项目最高限价×45%；</w:t>
      </w:r>
      <w:r/>
    </w:p>
    <w:p>
      <w:pPr>
        <w:ind w:firstLine="422"/>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3.评审委员会认定的供应商报价过低、有可能影响产品质量或者不能诚信履约的其他情形。</w:t>
      </w:r>
      <w:r/>
    </w:p>
    <w:p>
      <w:pPr>
        <w:ind w:firstLine="422"/>
        <w:jc w:val="left"/>
        <w:spacing w:line="360" w:lineRule="auto"/>
        <w:rPr>
          <w:b/>
          <w:color w:val="auto"/>
          <w:sz w:val="24"/>
          <w:szCs w:val="21"/>
          <w:highlight w:val="none"/>
          <w:u w:val="single"/>
          <w:lang w:val="zh-CN"/>
        </w:rPr>
      </w:pPr>
      <w:r>
        <w:rPr>
          <w:rFonts w:hint="eastAsia" w:ascii="宋体" w:hAnsi="宋体" w:cs="宋体"/>
          <w:b/>
          <w:bCs/>
          <w:color w:val="auto"/>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s="宋体"/>
          <w:b/>
          <w:bCs/>
          <w:color w:val="auto"/>
          <w:sz w:val="32"/>
          <w:szCs w:val="32"/>
          <w:highlight w:val="none"/>
        </w:rPr>
        <w:br w:type="page" w:clear="all"/>
      </w:r>
      <w:bookmarkEnd w:id="325"/>
      <w:r/>
      <w:r/>
    </w:p>
    <w:p>
      <w:pPr>
        <w:pStyle w:val="906"/>
        <w:ind w:firstLine="649"/>
        <w:spacing w:before="156" w:after="156"/>
        <w:rPr>
          <w:rFonts w:ascii="Times New Roman" w:hAnsi="Times New Roman"/>
          <w:color w:val="auto"/>
          <w:highlight w:val="none"/>
        </w:rPr>
      </w:pPr>
      <w:r/>
      <w:bookmarkStart w:id="326" w:name="_Toc157071033"/>
      <w:r/>
      <w:bookmarkStart w:id="327" w:name="_Toc107246272"/>
      <w:r>
        <w:rPr>
          <w:rFonts w:ascii="Times New Roman" w:hAnsi="Times New Roman"/>
          <w:color w:val="auto"/>
          <w:highlight w:val="none"/>
        </w:rPr>
        <w:t xml:space="preserve">第五章 评标方法与评标标准</w:t>
      </w:r>
      <w:bookmarkEnd w:id="326"/>
      <w:r/>
      <w:bookmarkEnd w:id="327"/>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41"/>
        <w:gridCol w:w="7277"/>
        <w:gridCol w:w="644"/>
      </w:tblGrid>
      <w:tr>
        <w:trPr>
          <w:jc w:val="center"/>
          <w:trHeight w:val="459"/>
        </w:trPr>
        <w:tc>
          <w:tcPr>
            <w:tcW w:w="427" w:type="dxa"/>
            <w:vAlign w:val="center"/>
            <w:textDirection w:val="lrTb"/>
            <w:noWrap w:val="false"/>
          </w:tcPr>
          <w:p>
            <w:pPr>
              <w:jc w:val="center"/>
              <w:spacing w:line="276" w:lineRule="auto"/>
              <w:rPr>
                <w:rFonts w:hint="eastAsia" w:ascii="宋体" w:hAnsi="宋体" w:cs="宋体"/>
                <w:b/>
                <w:color w:val="auto"/>
                <w:szCs w:val="21"/>
                <w:highlight w:val="none"/>
              </w:rPr>
            </w:pPr>
            <w:r/>
            <w:bookmarkStart w:id="328" w:name="_Toc91836565"/>
            <w:r>
              <w:rPr>
                <w:rFonts w:hint="eastAsia" w:ascii="宋体" w:hAnsi="宋体" w:cs="宋体"/>
                <w:b/>
                <w:color w:val="auto"/>
                <w:szCs w:val="21"/>
                <w:highlight w:val="none"/>
              </w:rPr>
              <w:t xml:space="preserve">序号</w:t>
            </w:r>
            <w:r/>
          </w:p>
        </w:tc>
        <w:tc>
          <w:tcPr>
            <w:tcW w:w="741" w:type="dxa"/>
            <w:vAlign w:val="center"/>
            <w:textDirection w:val="lrTb"/>
            <w:noWrap w:val="false"/>
          </w:tcPr>
          <w:p>
            <w:pPr>
              <w:jc w:val="center"/>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评审因素</w:t>
            </w:r>
            <w:r/>
          </w:p>
        </w:tc>
        <w:tc>
          <w:tcPr>
            <w:tcW w:w="7277" w:type="dxa"/>
            <w:vAlign w:val="center"/>
            <w:textDirection w:val="lrTb"/>
            <w:noWrap w:val="false"/>
          </w:tcPr>
          <w:p>
            <w:pPr>
              <w:jc w:val="center"/>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评  审  细  则</w:t>
            </w:r>
            <w:r/>
          </w:p>
        </w:tc>
        <w:tc>
          <w:tcPr>
            <w:tcW w:w="644" w:type="dxa"/>
            <w:vAlign w:val="center"/>
            <w:textDirection w:val="lrTb"/>
            <w:noWrap w:val="false"/>
          </w:tcPr>
          <w:p>
            <w:pPr>
              <w:jc w:val="center"/>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r>
      <w:tr>
        <w:trPr>
          <w:jc w:val="center"/>
          <w:trHeight w:val="1030"/>
        </w:trPr>
        <w:tc>
          <w:tcPr>
            <w:tcW w:w="427" w:type="dxa"/>
            <w:vAlign w:val="center"/>
            <w:textDirection w:val="lrTb"/>
            <w:noWrap w:val="false"/>
          </w:tcPr>
          <w:p>
            <w:pPr>
              <w:jc w:val="cente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74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tc>
        <w:tc>
          <w:tcPr>
            <w:tcW w:w="7277" w:type="dxa"/>
            <w:vAlign w:val="center"/>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采用低价优先法计算，即满足磋商文件要求且磋商价格最低的报价为评审基准价，其价格分为满分。其他供应商的价格分统一按照下列公式计算：磋商报价得分=(评审基准价/报价)×30。</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响应供应商的报价明显不合理或者明显低于其他响应报价，有可能影响商品质量和不能诚信履约的，应当要求该响应供应商作出书面说明并提供相关证明材料。响应供应商不能合理说明或者不能提供相关证明材料的，由磋商小组认定该响应供应商以低于成本报价竞标，报价无效。</w:t>
            </w:r>
            <w:r/>
          </w:p>
        </w:tc>
        <w:tc>
          <w:tcPr>
            <w:tcW w:w="64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r>
      <w:tr>
        <w:trPr>
          <w:jc w:val="center"/>
          <w:trHeight w:val="555"/>
        </w:trPr>
        <w:tc>
          <w:tcPr>
            <w:tcW w:w="427" w:type="dxa"/>
            <w:vAlign w:val="center"/>
            <w:textDirection w:val="lrTb"/>
            <w:noWrap w:val="false"/>
          </w:tcPr>
          <w:p>
            <w:pPr>
              <w:jc w:val="cente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p>
        </w:tc>
        <w:tc>
          <w:tcPr>
            <w:tcW w:w="74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技术响应</w:t>
            </w:r>
            <w:r/>
          </w:p>
        </w:tc>
        <w:tc>
          <w:tcPr>
            <w:shd w:val="clear" w:color="auto" w:fill="ffffff" w:themeFill="background1"/>
            <w:tcW w:w="7277" w:type="dxa"/>
            <w:vAlign w:val="center"/>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参数：响应产品技术参数清楚、完整、明确，能够完全满足招标要求得46分，每负偏离一项扣2分，扣完为止。评审依据为供应商出具的、相应的功能证明材料（包括但不限于系统功能截图及投标产品技术参数偏离表等。） </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2.功能演示：“★”号条款为实质性要求，供应商未演示或演示不全，不满足的，将被视为无效投标。评审依据：投标人须严格按照要求对★项参数内容提供演示视频，在演示的同时介绍参数佐证要点，并录制成视频，视频文件格式为：mp4，上传投标文件时上传，每条视频大小不超过 500M，视频总时长不超过10分钟。</w:t>
            </w:r>
            <w:r/>
          </w:p>
        </w:tc>
        <w:tc>
          <w:tcPr>
            <w:shd w:val="clear" w:color="auto" w:fill="ffffff" w:themeFill="background1"/>
            <w:tcW w:w="64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46</w:t>
            </w:r>
            <w:r/>
          </w:p>
        </w:tc>
      </w:tr>
      <w:tr>
        <w:trPr>
          <w:jc w:val="center"/>
          <w:trHeight w:val="738"/>
        </w:trPr>
        <w:tc>
          <w:tcPr>
            <w:tcW w:w="427" w:type="dxa"/>
            <w:vAlign w:val="center"/>
            <w:vMerge w:val="restart"/>
            <w:textDirection w:val="lrTb"/>
            <w:noWrap w:val="false"/>
          </w:tcPr>
          <w:p>
            <w:pPr>
              <w:jc w:val="center"/>
              <w:spacing w:line="276" w:lineRule="auto"/>
              <w:rPr>
                <w:rFonts w:hint="eastAsia" w:ascii="宋体" w:hAnsi="宋体" w:cs="宋体"/>
                <w:bCs/>
                <w:color w:val="auto"/>
                <w:szCs w:val="21"/>
                <w:highlight w:val="none"/>
              </w:rPr>
            </w:pPr>
            <w:r>
              <w:rPr>
                <w:rFonts w:ascii="宋体" w:hAnsi="宋体" w:cs="宋体"/>
                <w:bCs/>
                <w:color w:val="auto"/>
                <w:szCs w:val="21"/>
                <w:highlight w:val="none"/>
              </w:rPr>
              <w:t xml:space="preserve">50</w:t>
            </w:r>
            <w:r/>
          </w:p>
        </w:tc>
        <w:tc>
          <w:tcPr>
            <w:tcW w:w="741" w:type="dxa"/>
            <w:vAlign w:val="center"/>
            <w:vMerge w:val="restart"/>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w:t>
            </w:r>
            <w:r/>
          </w:p>
        </w:tc>
        <w:tc>
          <w:tcPr>
            <w:tcW w:w="7277" w:type="dxa"/>
            <w:vAlign w:val="center"/>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评委根据供应商提供的保障措施评分：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有完善的明确的成果交付形式、合理的履约验收保障，保障措施到位，合理性、完善性、规范性、清晰性、可操作性强的，得6分；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措施方案，合理性、完善性、规范性、清晰性、可操作性较强的，得4分；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方案的合理性、完善性、规范性、清晰性、可操作性较差的，得2分；    </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W w:w="64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Height w:val="253"/>
        </w:trPr>
        <w:tc>
          <w:tcPr>
            <w:tcW w:w="427" w:type="dxa"/>
            <w:vAlign w:val="center"/>
            <w:vMerge w:val="continue"/>
            <w:textDirection w:val="lrTb"/>
            <w:noWrap w:val="false"/>
          </w:tcPr>
          <w:p>
            <w:pPr>
              <w:jc w:val="cente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741" w:type="dxa"/>
            <w:vAlign w:val="center"/>
            <w:vMerge w:val="continue"/>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7" w:type="dxa"/>
            <w:vAlign w:val="center"/>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评委根据供应商提供的售后服务承诺方案评分：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有完善的明确的售后服务响应时间、服务方式、服务内容、质量保障措施、重大活动保障，合理性、完善性、规范性、清晰性、可操作性强的，得4分；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售后服务承诺方案合理性、完善性、规范性、清晰性、可操作性强的，得3分；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售后服务承诺方案合理性、完善性、规范性、清晰性、可操作性较差的，得1分；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W w:w="64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253"/>
        </w:trPr>
        <w:tc>
          <w:tcPr>
            <w:tcW w:w="427" w:type="dxa"/>
            <w:vAlign w:val="center"/>
            <w:vMerge w:val="continue"/>
            <w:textDirection w:val="lrTb"/>
            <w:noWrap w:val="false"/>
          </w:tcPr>
          <w:p>
            <w:pPr>
              <w:jc w:val="cente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741" w:type="dxa"/>
            <w:vAlign w:val="center"/>
            <w:vMerge w:val="continue"/>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7" w:type="dxa"/>
            <w:vAlign w:val="center"/>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评委根据供应商提供的服务、技术支持与培训承诺情况评分：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有完善的培训时间安排、培训内容安排服务方式、培训方式及人数安排，合理性、完善性、规范性、清晰性、可操作性强的，得4分；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技术支持与培训承诺方案，合理性、完善性、规范性、清晰性、可操作性强的，得3分；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技术支持与培训承诺方案，合理性、完善性、规范性、清晰性、可操作性较差的，得1分；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W w:w="64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311"/>
        </w:trPr>
        <w:tc>
          <w:tcPr>
            <w:tcW w:w="427" w:type="dxa"/>
            <w:vAlign w:val="center"/>
            <w:textDirection w:val="lrTb"/>
            <w:noWrap w:val="false"/>
          </w:tcPr>
          <w:p>
            <w:pPr>
              <w:jc w:val="cente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p>
        </w:tc>
        <w:tc>
          <w:tcPr>
            <w:tcW w:w="74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履约能力</w:t>
            </w:r>
            <w:r/>
          </w:p>
        </w:tc>
        <w:tc>
          <w:tcPr>
            <w:tcW w:w="7277" w:type="dxa"/>
            <w:vAlign w:val="center"/>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供应商提供的项目实施团队人员中具有系统规划与管理师、会计师、税务师、软件设计师、网络工程师等相关证书，每提供一项证书得1分，最高5分。一人只计一证，一人多证不重复计分。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（提供证书复印件并加盖公章）</w:t>
            </w:r>
            <w:r/>
          </w:p>
        </w:tc>
        <w:tc>
          <w:tcPr>
            <w:tcW w:w="64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Height w:val="624"/>
        </w:trPr>
        <w:tc>
          <w:tcPr>
            <w:tcW w:w="427" w:type="dxa"/>
            <w:vAlign w:val="center"/>
            <w:textDirection w:val="lrTb"/>
            <w:noWrap w:val="false"/>
          </w:tcPr>
          <w:p>
            <w:pPr>
              <w:jc w:val="center"/>
              <w:spacing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p>
        </w:tc>
        <w:tc>
          <w:tcPr>
            <w:tcW w:w="741" w:type="dxa"/>
            <w:vAlign w:val="center"/>
            <w:textDirection w:val="lrTb"/>
            <w:noWrap w:val="false"/>
          </w:tcPr>
          <w:p>
            <w:pPr>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tc>
        <w:tc>
          <w:tcPr>
            <w:tcW w:w="7277" w:type="dxa"/>
            <w:vAlign w:val="center"/>
            <w:textDirection w:val="lrTb"/>
            <w:noWrap w:val="false"/>
          </w:tcPr>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供应商提供自2022年9月1日以来类似项目合同，每提供一个业绩得1分，最高得5分，未提供的不得分。</w:t>
            </w:r>
            <w:r/>
          </w:p>
          <w:p>
            <w:pPr>
              <w:ind w:firstLine="420"/>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（须提供合同复印件并加盖公章，以合同签订时间为准，否则不得分，同一单位业绩不重复计算。）</w:t>
            </w:r>
            <w:r/>
          </w:p>
        </w:tc>
        <w:tc>
          <w:tcPr>
            <w:tcW w:w="644" w:type="dxa"/>
            <w:vAlign w:val="center"/>
            <w:textDirection w:val="lrTb"/>
            <w:noWrap w:val="false"/>
          </w:tcPr>
          <w:p>
            <w:pPr>
              <w:jc w:val="center"/>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Height w:val="434"/>
        </w:trPr>
        <w:tc>
          <w:tcPr>
            <w:gridSpan w:val="3"/>
            <w:tcW w:w="8445" w:type="dxa"/>
            <w:vAlign w:val="center"/>
            <w:textDirection w:val="lrTb"/>
            <w:noWrap w:val="false"/>
          </w:tcPr>
          <w:p>
            <w:pPr>
              <w:jc w:val="center"/>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总  分</w:t>
            </w:r>
            <w:r/>
          </w:p>
        </w:tc>
        <w:tc>
          <w:tcPr>
            <w:tcW w:w="644" w:type="dxa"/>
            <w:textDirection w:val="lrTb"/>
            <w:noWrap w:val="false"/>
          </w:tcPr>
          <w:p>
            <w:pPr>
              <w:jc w:val="center"/>
              <w:spacing w:line="276"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100</w:t>
            </w:r>
            <w:r/>
          </w:p>
        </w:tc>
      </w:tr>
    </w:tbl>
    <w:p>
      <w:pPr>
        <w:spacing w:line="360" w:lineRule="auto"/>
        <w:rPr>
          <w:rFonts w:ascii="Microsoft New Tai Lue" w:hAnsi="Microsoft New Tai Lue" w:cs="宋体"/>
          <w:b/>
          <w:bCs/>
          <w:color w:val="auto"/>
          <w:szCs w:val="21"/>
          <w:highlight w:val="none"/>
        </w:rPr>
      </w:pPr>
      <w:r>
        <w:rPr>
          <w:rFonts w:ascii="Microsoft New Tai Lue" w:hAnsi="Microsoft New Tai Lue" w:cs="宋体"/>
          <w:b/>
          <w:bCs/>
          <w:color w:val="auto"/>
          <w:szCs w:val="21"/>
          <w:highlight w:val="none"/>
        </w:rPr>
      </w:r>
      <w:r/>
    </w:p>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宋体"/>
          <w:b/>
          <w:bCs/>
          <w:color w:val="auto"/>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宋体"/>
          <w:color w:val="auto"/>
          <w:szCs w:val="21"/>
          <w:highlight w:val="none"/>
        </w:rPr>
        <w:t xml:space="preserve">落实政府采购政策的价格调整：符合第二章《供应商须知》</w:t>
      </w:r>
      <w:r>
        <w:rPr>
          <w:rFonts w:ascii="Microsoft New Tai Lue" w:hAnsi="Microsoft New Tai Lue" w:cs="Microsoft New Tai Lue"/>
          <w:color w:val="auto"/>
          <w:szCs w:val="21"/>
          <w:highlight w:val="none"/>
        </w:rPr>
        <w:t xml:space="preserve">4</w:t>
      </w:r>
      <w:r>
        <w:rPr>
          <w:rFonts w:hint="eastAsia" w:ascii="Microsoft New Tai Lue" w:hAnsi="Microsoft New Tai Lue" w:cs="宋体"/>
          <w:color w:val="auto"/>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w:t>
      </w:r>
      <w:r>
        <w:rPr>
          <w:rFonts w:hint="eastAsia" w:ascii="Microsoft New Tai Lue" w:hAnsi="Microsoft New Tai Lue" w:cs="宋体"/>
          <w:color w:val="auto"/>
          <w:szCs w:val="21"/>
          <w:highlight w:val="none"/>
        </w:rPr>
        <w:t xml:space="preserve">、对于未预留份额专门面向中小企业采购的采购项目，以及预留份额项目中的非预留部分采购包，对小微企业报价给予</w:t>
      </w:r>
      <w:r>
        <w:rPr>
          <w:rFonts w:ascii="Microsoft New Tai Lue" w:hAnsi="Microsoft New Tai Lue" w:cs="Microsoft New Tai Lue"/>
          <w:color w:val="auto"/>
          <w:szCs w:val="21"/>
          <w:highlight w:val="none"/>
          <w:u w:val="single"/>
        </w:rPr>
        <w:t xml:space="preserve">10%</w:t>
      </w:r>
      <w:r>
        <w:rPr>
          <w:rFonts w:hint="eastAsia" w:ascii="Microsoft New Tai Lue" w:hAnsi="Microsoft New Tai Lue"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hint="eastAsia" w:ascii="Microsoft New Tai Lue" w:hAnsi="Microsoft New Tai Lue" w:cs="宋体"/>
          <w:color w:val="auto"/>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Microsoft New Tai Lue" w:hAnsi="Microsoft New Tai Lue" w:cs="Microsoft New Tai Lue"/>
          <w:color w:val="auto"/>
          <w:szCs w:val="21"/>
          <w:highlight w:val="none"/>
        </w:rPr>
        <w:t xml:space="preserve">30%</w:t>
      </w:r>
      <w:r>
        <w:rPr>
          <w:rFonts w:hint="eastAsia" w:ascii="Microsoft New Tai Lue" w:hAnsi="Microsoft New Tai Lue" w:cs="宋体"/>
          <w:color w:val="auto"/>
          <w:szCs w:val="21"/>
          <w:highlight w:val="none"/>
        </w:rPr>
        <w:t xml:space="preserve">以上的联合体或者大中型企业的报价给予</w:t>
      </w:r>
      <w:r>
        <w:rPr>
          <w:rFonts w:ascii="Microsoft New Tai Lue" w:hAnsi="Microsoft New Tai Lue" w:cs="Microsoft New Tai Lue"/>
          <w:color w:val="auto"/>
          <w:szCs w:val="21"/>
          <w:highlight w:val="none"/>
        </w:rPr>
        <w:t xml:space="preserve">4%</w:t>
      </w:r>
      <w:r>
        <w:rPr>
          <w:rFonts w:hint="eastAsia" w:ascii="Microsoft New Tai Lue" w:hAnsi="Microsoft New Tai Lue"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hint="eastAsia" w:ascii="Microsoft New Tai Lue" w:hAnsi="Microsoft New Tai Lue" w:cs="宋体"/>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w:t>
      </w:r>
      <w:r>
        <w:rPr>
          <w:rFonts w:hint="eastAsia" w:ascii="Microsoft New Tai Lue" w:hAnsi="Microsoft New Tai Lue" w:cs="宋体"/>
          <w:color w:val="auto"/>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w:t>
      </w:r>
      <w:r>
        <w:rPr>
          <w:rFonts w:hint="eastAsia" w:ascii="Microsoft New Tai Lue" w:hAnsi="Microsoft New Tai Lue" w:cs="宋体"/>
          <w:color w:val="auto"/>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w:t>
      </w:r>
      <w:r>
        <w:rPr>
          <w:rFonts w:hint="eastAsia" w:ascii="Microsoft New Tai Lue" w:hAnsi="Microsoft New Tai Lue" w:cs="宋体"/>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w:t>
      </w:r>
      <w:r>
        <w:rPr>
          <w:rFonts w:hint="eastAsia" w:ascii="Microsoft New Tai Lue" w:hAnsi="Microsoft New Tai Lue" w:cs="宋体"/>
          <w:color w:val="auto"/>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8</w:t>
      </w:r>
      <w:r>
        <w:rPr>
          <w:rFonts w:hint="eastAsia" w:ascii="Microsoft New Tai Lue" w:hAnsi="Microsoft New Tai Lue" w:cs="宋体"/>
          <w:color w:val="auto"/>
          <w:szCs w:val="21"/>
          <w:highlight w:val="none"/>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9</w:t>
      </w:r>
      <w:r>
        <w:rPr>
          <w:rFonts w:hint="eastAsia" w:ascii="Microsoft New Tai Lue" w:hAnsi="Microsoft New Tai Lue" w:cs="宋体"/>
          <w:color w:val="auto"/>
          <w:szCs w:val="21"/>
          <w:highlight w:val="none"/>
        </w:rPr>
        <w:t xml:space="preserve">、非政府强制采购的节能产品或环境标志产品，依据品目清单和认证证书实施政府优先采购。优先采购的具体规定（如涉及）</w:t>
      </w:r>
      <w:r>
        <w:rPr>
          <w:rFonts w:ascii="Microsoft New Tai Lue" w:hAnsi="Microsoft New Tai Lue" w:cs="Microsoft New Tai Lue"/>
          <w:color w:val="auto"/>
          <w:szCs w:val="21"/>
          <w:highlight w:val="none"/>
        </w:rPr>
        <w:t xml:space="preserve">__</w:t>
      </w:r>
      <w:r>
        <w:rPr>
          <w:rFonts w:ascii="Microsoft New Tai Lue" w:hAnsi="Microsoft New Tai Lue" w:cs="Microsoft New Tai Lue"/>
          <w:color w:val="auto"/>
          <w:szCs w:val="21"/>
          <w:highlight w:val="none"/>
          <w:u w:val="single"/>
        </w:rPr>
        <w:t xml:space="preserve">_/__</w:t>
      </w:r>
      <w:r>
        <w:rPr>
          <w:rFonts w:hint="eastAsia" w:ascii="Microsoft New Tai Lue" w:hAnsi="Microsoft New Tai Lue" w:cs="宋体"/>
          <w:color w:val="auto"/>
          <w:szCs w:val="21"/>
          <w:highlight w:val="none"/>
        </w:rPr>
        <w:t xml:space="preserve">。</w:t>
      </w:r>
      <w:r/>
    </w:p>
    <w:p>
      <w:pPr>
        <w:ind w:firstLine="420"/>
        <w:spacing w:line="360" w:lineRule="auto"/>
        <w:tabs>
          <w:tab w:val="left" w:pos="1080" w:leader="none"/>
          <w:tab w:val="left" w:pos="1589" w:leader="none"/>
        </w:tabs>
        <w:rPr>
          <w:color w:val="auto"/>
          <w:szCs w:val="21"/>
          <w:highlight w:val="none"/>
        </w:rPr>
      </w:pPr>
      <w:r>
        <w:rPr>
          <w:rFonts w:ascii="Microsoft New Tai Lue" w:hAnsi="Microsoft New Tai Lue" w:cs="Microsoft New Tai Lue"/>
          <w:color w:val="auto"/>
          <w:szCs w:val="21"/>
          <w:highlight w:val="none"/>
        </w:rPr>
        <w:t xml:space="preserve">10</w:t>
      </w:r>
      <w:r>
        <w:rPr>
          <w:rFonts w:hint="eastAsia" w:ascii="Microsoft New Tai Lue" w:hAnsi="Microsoft New Tai Lue" w:cs="宋体"/>
          <w:color w:val="auto"/>
          <w:szCs w:val="21"/>
          <w:highlight w:val="none"/>
        </w:rPr>
        <w:t xml:space="preserve">、关于无线局域网认证产品政府采购清单中的产品，优先采购的具体规定（如涉及）</w:t>
      </w:r>
      <w:r>
        <w:rPr>
          <w:rFonts w:ascii="Microsoft New Tai Lue" w:hAnsi="Microsoft New Tai Lue" w:cs="Microsoft New Tai Lue"/>
          <w:color w:val="auto"/>
          <w:szCs w:val="21"/>
          <w:highlight w:val="none"/>
        </w:rPr>
        <w:t xml:space="preserve">___</w:t>
      </w:r>
      <w:r>
        <w:rPr>
          <w:rFonts w:ascii="Microsoft New Tai Lue" w:hAnsi="Microsoft New Tai Lue" w:cs="Microsoft New Tai Lue"/>
          <w:color w:val="auto"/>
          <w:szCs w:val="21"/>
          <w:highlight w:val="none"/>
          <w:u w:val="single"/>
        </w:rPr>
        <w:t xml:space="preserve">/_</w:t>
      </w:r>
      <w:r>
        <w:rPr>
          <w:rFonts w:ascii="Microsoft New Tai Lue" w:hAnsi="Microsoft New Tai Lue" w:cs="Microsoft New Tai Lue"/>
          <w:color w:val="auto"/>
          <w:szCs w:val="21"/>
          <w:highlight w:val="none"/>
        </w:rPr>
        <w:t xml:space="preserve">_</w:t>
      </w:r>
      <w:r>
        <w:rPr>
          <w:rFonts w:hint="eastAsia" w:ascii="Microsoft New Tai Lue" w:hAnsi="Microsoft New Tai Lue" w:cs="宋体"/>
          <w:color w:val="auto"/>
          <w:szCs w:val="21"/>
          <w:highlight w:val="none"/>
        </w:rPr>
        <w:t xml:space="preserve">。</w:t>
      </w:r>
      <w:r/>
    </w:p>
    <w:p>
      <w:pPr>
        <w:pStyle w:val="906"/>
        <w:ind w:firstLine="649"/>
        <w:spacing w:before="156" w:after="156"/>
        <w:rPr>
          <w:rFonts w:ascii="Times New Roman" w:hAnsi="Times New Roman"/>
          <w:color w:val="auto"/>
          <w:highlight w:val="none"/>
        </w:rPr>
      </w:pPr>
      <w:r>
        <w:rPr>
          <w:rFonts w:ascii="Times New Roman" w:hAnsi="Times New Roman"/>
          <w:color w:val="auto"/>
          <w:highlight w:val="none"/>
        </w:rPr>
        <w:br w:type="page" w:clear="all"/>
      </w:r>
      <w:bookmarkStart w:id="329" w:name="_Toc157071034"/>
      <w:r/>
      <w:bookmarkStart w:id="330" w:name="_Toc107246273"/>
      <w:r>
        <w:rPr>
          <w:rFonts w:ascii="Times New Roman" w:hAnsi="Times New Roman"/>
          <w:color w:val="auto"/>
          <w:highlight w:val="none"/>
        </w:rPr>
        <w:t xml:space="preserve">第六章 </w:t>
      </w:r>
      <w:bookmarkEnd w:id="328"/>
      <w:r>
        <w:rPr>
          <w:rFonts w:ascii="Times New Roman" w:hAnsi="Times New Roman"/>
          <w:color w:val="auto"/>
          <w:highlight w:val="none"/>
        </w:rPr>
        <w:t xml:space="preserve">投标文件格式</w:t>
      </w:r>
      <w:bookmarkEnd w:id="329"/>
      <w:r/>
      <w:bookmarkEnd w:id="330"/>
      <w:r/>
      <w:r/>
    </w:p>
    <w:p>
      <w:pPr>
        <w:ind w:firstLine="426"/>
        <w:spacing w:line="360" w:lineRule="auto"/>
        <w:rPr>
          <w:b/>
          <w:bCs/>
          <w:color w:val="auto"/>
          <w:highlight w:val="none"/>
        </w:rPr>
      </w:pPr>
      <w:r>
        <w:rPr>
          <w:b/>
          <w:bCs/>
          <w:color w:val="auto"/>
          <w:highlight w:val="none"/>
        </w:rPr>
        <w:t xml:space="preserve">注：请投标人按照以下文件的要求格式、内容，顺序制作投标文件，并请编制目录及页码，否则可能将影响对投标文件的评价。</w:t>
      </w:r>
      <w:r/>
    </w:p>
    <w:p>
      <w:pPr>
        <w:pStyle w:val="1106"/>
        <w:ind w:firstLine="0"/>
        <w:spacing w:line="265" w:lineRule="atLeast"/>
        <w:shd w:val="clear" w:color="auto" w:fill="ffffff"/>
        <w:rPr>
          <w:rFonts w:eastAsia="宋体"/>
          <w:b/>
          <w:color w:val="auto"/>
          <w:sz w:val="24"/>
          <w:highlight w:val="none"/>
        </w:rPr>
      </w:pPr>
      <w:r>
        <w:rPr>
          <w:rFonts w:eastAsia="宋体"/>
          <w:b/>
          <w:color w:val="auto"/>
          <w:sz w:val="24"/>
          <w:highlight w:val="none"/>
        </w:rPr>
      </w:r>
      <w:r/>
    </w:p>
    <w:p>
      <w:pPr>
        <w:ind w:firstLine="485"/>
        <w:jc w:val="left"/>
        <w:spacing w:before="156" w:after="156" w:line="360" w:lineRule="auto"/>
        <w:rPr>
          <w:color w:val="auto"/>
          <w:sz w:val="24"/>
          <w:highlight w:val="none"/>
        </w:rPr>
      </w:pPr>
      <w:r/>
      <w:bookmarkStart w:id="331" w:name="_Toc96347900"/>
      <w:r>
        <w:rPr>
          <w:color w:val="auto"/>
          <w:sz w:val="24"/>
          <w:highlight w:val="none"/>
        </w:rPr>
        <w:br w:type="page" w:clear="all"/>
      </w:r>
      <w:r>
        <w:rPr>
          <w:b/>
          <w:color w:val="auto"/>
          <w:sz w:val="40"/>
          <w:szCs w:val="60"/>
          <w:highlight w:val="none"/>
        </w:rPr>
        <w:t xml:space="preserve">附件</w:t>
      </w:r>
      <w:r/>
    </w:p>
    <w:p>
      <w:pPr>
        <w:pStyle w:val="886"/>
        <w:ind w:left="0"/>
        <w:jc w:val="center"/>
        <w:rPr>
          <w:rFonts w:ascii="Times New Roman"/>
          <w:color w:val="auto"/>
          <w:position w:val="0"/>
          <w:sz w:val="56"/>
          <w:szCs w:val="56"/>
          <w:highlight w:val="none"/>
        </w:rPr>
      </w:pPr>
      <w:r>
        <w:rPr>
          <w:rFonts w:hint="eastAsia" w:ascii="Times New Roman"/>
          <w:color w:val="auto"/>
          <w:position w:val="0"/>
          <w:sz w:val="56"/>
          <w:szCs w:val="56"/>
          <w:highlight w:val="none"/>
        </w:rPr>
        <w:t xml:space="preserve">苏州城市学院</w:t>
      </w:r>
      <w:r/>
    </w:p>
    <w:p>
      <w:pPr>
        <w:pStyle w:val="886"/>
        <w:ind w:left="0"/>
        <w:jc w:val="center"/>
        <w:rPr>
          <w:rFonts w:ascii="Times New Roman"/>
          <w:color w:val="auto"/>
          <w:sz w:val="22"/>
          <w:szCs w:val="18"/>
          <w:highlight w:val="none"/>
        </w:rPr>
      </w:pPr>
      <w:r>
        <w:rPr>
          <w:rFonts w:hint="eastAsia" w:ascii="Times New Roman"/>
          <w:color w:val="auto"/>
          <w:position w:val="0"/>
          <w:sz w:val="56"/>
          <w:szCs w:val="56"/>
          <w:highlight w:val="none"/>
        </w:rPr>
        <w:t xml:space="preserve">光电研究院仪器设备采购项目</w:t>
      </w:r>
      <w:r/>
    </w:p>
    <w:p>
      <w:pPr>
        <w:rPr>
          <w:color w:val="auto"/>
          <w:highlight w:val="none"/>
        </w:rPr>
      </w:pPr>
      <w:r>
        <w:rPr>
          <w:color w:val="auto"/>
          <w:highlight w:val="none"/>
        </w:rPr>
      </w:r>
      <w:r/>
    </w:p>
    <w:p>
      <w:pPr>
        <w:pStyle w:val="889"/>
        <w:ind w:firstLine="1703"/>
        <w:rPr>
          <w:rFonts w:ascii="Times New Roman" w:hAnsi="Times New Roman" w:cs="Times New Roman"/>
          <w:b/>
          <w:color w:val="auto"/>
          <w:sz w:val="84"/>
          <w:szCs w:val="84"/>
          <w:highlight w:val="none"/>
        </w:rPr>
      </w:pPr>
      <w:r/>
      <w:bookmarkStart w:id="332" w:name="_Toc100905255"/>
      <w:r>
        <w:rPr>
          <w:rFonts w:ascii="Times New Roman" w:hAnsi="Times New Roman" w:cs="Times New Roman"/>
          <w:b/>
          <w:color w:val="auto"/>
          <w:sz w:val="84"/>
          <w:szCs w:val="84"/>
          <w:highlight w:val="none"/>
        </w:rPr>
        <w:t xml:space="preserve">投 标 文 件</w:t>
      </w:r>
      <w:bookmarkEnd w:id="332"/>
      <w:r/>
      <w:r/>
    </w:p>
    <w:p>
      <w:pPr>
        <w:ind w:right="640" w:firstLine="892"/>
        <w:jc w:val="center"/>
        <w:spacing w:line="360" w:lineRule="auto"/>
        <w:rPr>
          <w:b/>
          <w:color w:val="auto"/>
          <w:sz w:val="44"/>
          <w:szCs w:val="44"/>
          <w:highlight w:val="none"/>
        </w:rPr>
      </w:pPr>
      <w:r>
        <w:rPr>
          <w:b/>
          <w:color w:val="auto"/>
          <w:sz w:val="44"/>
          <w:szCs w:val="44"/>
          <w:highlight w:val="none"/>
        </w:rPr>
      </w:r>
      <w:r/>
    </w:p>
    <w:p>
      <w:pPr>
        <w:ind w:right="640" w:firstLine="892"/>
        <w:jc w:val="center"/>
        <w:spacing w:line="360" w:lineRule="auto"/>
        <w:rPr>
          <w:b/>
          <w:color w:val="auto"/>
          <w:sz w:val="44"/>
          <w:szCs w:val="44"/>
          <w:highlight w:val="none"/>
        </w:rPr>
      </w:pPr>
      <w:r>
        <w:rPr>
          <w:b/>
          <w:color w:val="auto"/>
          <w:sz w:val="44"/>
          <w:szCs w:val="44"/>
          <w:highlight w:val="none"/>
        </w:rPr>
      </w:r>
      <w:r/>
    </w:p>
    <w:p>
      <w:pPr>
        <w:ind w:right="640" w:firstLine="892"/>
        <w:jc w:val="center"/>
        <w:spacing w:line="360" w:lineRule="auto"/>
        <w:rPr>
          <w:b/>
          <w:color w:val="auto"/>
          <w:sz w:val="44"/>
          <w:szCs w:val="44"/>
          <w:highlight w:val="none"/>
        </w:rPr>
      </w:pPr>
      <w:r>
        <w:rPr>
          <w:b/>
          <w:color w:val="auto"/>
          <w:sz w:val="44"/>
          <w:szCs w:val="44"/>
          <w:highlight w:val="none"/>
        </w:rPr>
      </w:r>
      <w:r/>
    </w:p>
    <w:p>
      <w:pPr>
        <w:ind w:right="640"/>
        <w:jc w:val="center"/>
        <w:spacing w:line="360" w:lineRule="auto"/>
        <w:rPr>
          <w:b/>
          <w:color w:val="auto"/>
          <w:sz w:val="40"/>
          <w:szCs w:val="40"/>
          <w:highlight w:val="none"/>
        </w:rPr>
      </w:pPr>
      <w:r>
        <w:rPr>
          <w:b/>
          <w:color w:val="auto"/>
          <w:sz w:val="40"/>
          <w:szCs w:val="40"/>
          <w:highlight w:val="none"/>
        </w:rPr>
        <w:t xml:space="preserve">项目编号：</w:t>
      </w:r>
      <w:sdt>
        <w:sdtPr>
          <w15:appearance w15:val="boundingBox"/>
          <w:id w:val="351766342"/>
          <w:placeholder>
            <w:docPart w:val="DefaultPlaceholder_-1854013440"/>
          </w:placeholder>
          <w:rPr>
            <w:b/>
            <w:color w:val="auto"/>
            <w:sz w:val="40"/>
            <w:szCs w:val="40"/>
            <w:highlight w:val="none"/>
          </w:rPr>
        </w:sdtPr>
        <w:sdtContent>
          <w:r>
            <w:rPr>
              <w:rFonts w:hint="eastAsia"/>
              <w:b/>
              <w:color w:val="auto"/>
              <w:sz w:val="40"/>
              <w:szCs w:val="40"/>
              <w:highlight w:val="none"/>
              <w:lang w:eastAsia="zh-CN"/>
            </w:rPr>
            <w:t xml:space="preserve">JSZC-320500-JITC-G2025-0380</w:t>
          </w:r>
        </w:sdtContent>
      </w:sdt>
      <w:r/>
      <w:r/>
    </w:p>
    <w:p>
      <w:pPr>
        <w:pStyle w:val="88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88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88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88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88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889"/>
        <w:ind w:firstLine="566"/>
        <w:rPr>
          <w:rFonts w:ascii="Times New Roman" w:hAnsi="Times New Roman" w:cs="Times New Roman"/>
          <w:color w:val="auto"/>
          <w:sz w:val="28"/>
          <w:szCs w:val="28"/>
          <w:highlight w:val="none"/>
        </w:rPr>
      </w:pPr>
      <w:r>
        <w:rPr>
          <w:rFonts w:ascii="Times New Roman" w:hAnsi="Times New Roman" w:cs="Times New Roman"/>
          <w:color w:val="auto"/>
          <w:sz w:val="28"/>
          <w:szCs w:val="28"/>
          <w:highlight w:val="none"/>
        </w:rPr>
      </w:r>
      <w:r/>
    </w:p>
    <w:p>
      <w:pPr>
        <w:pStyle w:val="889"/>
        <w:ind w:firstLine="649"/>
        <w:jc w:val="center"/>
        <w:rPr>
          <w:rFonts w:ascii="Times New Roman" w:hAnsi="Times New Roman" w:cs="Times New Roman"/>
          <w:b/>
          <w:color w:val="auto"/>
          <w:sz w:val="32"/>
          <w:szCs w:val="32"/>
          <w:highlight w:val="none"/>
        </w:rPr>
      </w:pPr>
      <w:r>
        <w:rPr>
          <w:rFonts w:ascii="Times New Roman" w:hAnsi="Times New Roman" w:cs="Times New Roman"/>
          <w:b/>
          <w:color w:val="auto"/>
          <w:sz w:val="32"/>
          <w:szCs w:val="24"/>
          <w:highlight w:val="none"/>
        </w:rPr>
        <w:t xml:space="preserve">供应商名称：</w:t>
      </w:r>
      <w:r>
        <w:rPr>
          <w:rFonts w:ascii="Times New Roman" w:hAnsi="Times New Roman" w:cs="Times New Roman"/>
          <w:b/>
          <w:color w:val="auto"/>
          <w:sz w:val="32"/>
          <w:szCs w:val="32"/>
          <w:highlight w:val="none"/>
        </w:rPr>
        <w:t xml:space="preserve">_____________________</w:t>
      </w:r>
      <w:r/>
    </w:p>
    <w:p>
      <w:pPr>
        <w:pStyle w:val="889"/>
        <w:ind w:firstLine="649"/>
        <w:jc w:val="center"/>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地址：_____________________</w:t>
      </w:r>
      <w:r>
        <w:rPr>
          <w:rFonts w:ascii="Times New Roman" w:hAnsi="Times New Roman" w:cs="Times New Roman"/>
          <w:b/>
          <w:color w:val="auto"/>
          <w:sz w:val="32"/>
          <w:szCs w:val="32"/>
          <w:highlight w:val="none"/>
          <w:u w:val="single"/>
        </w:rPr>
        <w:t xml:space="preserve">   </w:t>
      </w:r>
      <w:r/>
    </w:p>
    <w:p>
      <w:pPr>
        <w:pStyle w:val="889"/>
        <w:ind w:firstLine="649"/>
        <w:jc w:val="center"/>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 xml:space="preserve">联系人及联系方式：_____________________</w:t>
      </w:r>
      <w:r>
        <w:rPr>
          <w:rFonts w:ascii="Times New Roman" w:hAnsi="Times New Roman" w:cs="Times New Roman"/>
          <w:b/>
          <w:color w:val="auto"/>
          <w:sz w:val="32"/>
          <w:szCs w:val="32"/>
          <w:highlight w:val="none"/>
          <w:u w:val="single"/>
        </w:rPr>
        <w:t xml:space="preserve">   </w:t>
      </w:r>
      <w:r/>
    </w:p>
    <w:p>
      <w:pPr>
        <w:ind w:firstLine="649"/>
        <w:jc w:val="center"/>
        <w:rPr>
          <w:b/>
          <w:color w:val="auto"/>
          <w:sz w:val="28"/>
          <w:highlight w:val="none"/>
        </w:rPr>
      </w:pPr>
      <w:r>
        <w:rPr>
          <w:b/>
          <w:color w:val="auto"/>
          <w:sz w:val="32"/>
          <w:highlight w:val="none"/>
        </w:rPr>
        <w:t xml:space="preserve">二O   年  月  日</w:t>
      </w:r>
      <w:r>
        <w:rPr>
          <w:b/>
          <w:color w:val="auto"/>
          <w:highlight w:val="none"/>
        </w:rPr>
        <w:br w:type="page" w:clear="all"/>
      </w:r>
      <w:r>
        <w:rPr>
          <w:b/>
          <w:color w:val="auto"/>
          <w:sz w:val="32"/>
          <w:highlight w:val="none"/>
        </w:rPr>
        <w:t xml:space="preserve">目录</w:t>
      </w:r>
      <w:r/>
    </w:p>
    <w:p>
      <w:pPr>
        <w:pStyle w:val="889"/>
        <w:jc w:val="center"/>
        <w:spacing w:before="156" w:line="3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（注：供应商根据附件顺序编制响应文件并制作目录（须生成页码））</w:t>
      </w:r>
      <w:r/>
    </w:p>
    <w:p>
      <w:pPr>
        <w:pStyle w:val="889"/>
        <w:jc w:val="center"/>
        <w:spacing w:before="156" w:line="300" w:lineRule="exact"/>
        <w:rPr>
          <w:rFonts w:ascii="Times New Roman" w:hAnsi="Times New Roman" w:cs="Times New Roman"/>
          <w:color w:val="auto"/>
          <w:sz w:val="28"/>
          <w:szCs w:val="28"/>
          <w:highlight w:val="none"/>
        </w:rPr>
      </w:pPr>
      <w:r>
        <w:rPr>
          <w:rFonts w:ascii="Times New Roman" w:hAnsi="Times New Roman" w:cs="Times New Roman"/>
          <w:color w:val="auto"/>
          <w:highlight w:val="none"/>
        </w:rPr>
        <w:br w:type="page" w:clear="all"/>
      </w:r>
      <w:r>
        <w:rPr>
          <w:rFonts w:ascii="Times New Roman" w:hAnsi="Times New Roman" w:cs="Times New Roman"/>
          <w:b/>
          <w:bCs/>
          <w:color w:val="auto"/>
          <w:sz w:val="28"/>
          <w:szCs w:val="28"/>
          <w:highlight w:val="none"/>
        </w:rPr>
        <w:t xml:space="preserve">评标索引</w:t>
      </w:r>
      <w:r/>
    </w:p>
    <w:p>
      <w:pPr>
        <w:ind w:firstLine="487"/>
        <w:jc w:val="center"/>
        <w:rPr>
          <w:b/>
          <w:color w:val="auto"/>
          <w:sz w:val="24"/>
          <w:highlight w:val="none"/>
        </w:rPr>
      </w:pPr>
      <w:r>
        <w:rPr>
          <w:b/>
          <w:color w:val="auto"/>
          <w:sz w:val="24"/>
          <w:highlight w:val="none"/>
        </w:rPr>
        <w:t xml:space="preserve">（注：此表按照招标文件中评分办法逐项填写）</w:t>
      </w:r>
      <w:r/>
    </w:p>
    <w:p>
      <w:pPr>
        <w:pStyle w:val="886"/>
        <w:ind w:left="1260" w:firstLine="487"/>
        <w:rPr>
          <w:rFonts w:ascii="Times New Roman"/>
          <w:color w:val="auto"/>
          <w:highlight w:val="none"/>
        </w:rPr>
      </w:pPr>
      <w:r>
        <w:rPr>
          <w:rFonts w:ascii="Times New Roman"/>
          <w:color w:val="auto"/>
          <w:highlight w:val="none"/>
        </w:rPr>
      </w:r>
      <w:r/>
    </w:p>
    <w:tbl>
      <w:tblPr>
        <w:tblStyle w:val="877"/>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0"/>
              <w:spacing w:line="265" w:lineRule="atLeast"/>
              <w:shd w:val="clear" w:color="auto" w:fill="ffffff"/>
              <w:rPr>
                <w:rFonts w:eastAsia="宋体"/>
                <w:b/>
                <w:color w:val="auto"/>
                <w:sz w:val="24"/>
                <w:highlight w:val="none"/>
              </w:rPr>
            </w:pPr>
            <w:r>
              <w:rPr>
                <w:rFonts w:eastAsia="宋体"/>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firstLine="0"/>
              <w:jc w:val="center"/>
              <w:spacing w:line="265" w:lineRule="atLeast"/>
              <w:shd w:val="clear" w:color="auto" w:fill="ffffff"/>
              <w:rPr>
                <w:rFonts w:eastAsia="宋体"/>
                <w:b/>
                <w:color w:val="auto"/>
                <w:sz w:val="24"/>
                <w:highlight w:val="none"/>
              </w:rPr>
            </w:pPr>
            <w:r>
              <w:rPr>
                <w:rFonts w:eastAsia="宋体"/>
                <w:b/>
                <w:color w:val="auto"/>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firstLine="0"/>
              <w:jc w:val="center"/>
              <w:spacing w:line="265" w:lineRule="atLeast"/>
              <w:shd w:val="clear" w:color="auto" w:fill="ffffff"/>
              <w:rPr>
                <w:rFonts w:eastAsia="宋体"/>
                <w:b/>
                <w:color w:val="auto"/>
                <w:sz w:val="24"/>
                <w:highlight w:val="none"/>
              </w:rPr>
            </w:pPr>
            <w:r>
              <w:rPr>
                <w:rFonts w:eastAsia="宋体"/>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6"/>
              <w:ind w:left="420" w:firstLine="482"/>
              <w:jc w:val="center"/>
              <w:spacing w:line="265" w:lineRule="atLeast"/>
              <w:shd w:val="clear" w:color="auto" w:fill="ffffff"/>
              <w:rPr>
                <w:rFonts w:eastAsia="宋体"/>
                <w:b/>
                <w:color w:val="auto"/>
                <w:sz w:val="24"/>
                <w:highlight w:val="none"/>
              </w:rPr>
            </w:pPr>
            <w:r>
              <w:rPr>
                <w:rFonts w:eastAsia="宋体"/>
                <w:b/>
                <w:color w:val="auto"/>
                <w:sz w:val="24"/>
                <w:highlight w:val="none"/>
              </w:rPr>
            </w:r>
            <w:bookmarkEnd w:id="331"/>
            <w:r/>
            <w:r/>
          </w:p>
        </w:tc>
      </w:tr>
    </w:tbl>
    <w:p>
      <w:pPr>
        <w:rPr>
          <w:color w:val="auto"/>
          <w:highlight w:val="none"/>
        </w:rPr>
      </w:pPr>
      <w:r>
        <w:rPr>
          <w:color w:val="auto"/>
          <w:highlight w:val="none"/>
        </w:rPr>
      </w:r>
      <w:r/>
    </w:p>
    <w:p>
      <w:pPr>
        <w:numPr>
          <w:ilvl w:val="0"/>
          <w:numId w:val="3"/>
        </w:numPr>
        <w:rPr>
          <w:color w:val="auto"/>
          <w:highlight w:val="none"/>
        </w:rPr>
      </w:pPr>
      <w:r>
        <w:rPr>
          <w:color w:val="auto"/>
          <w:highlight w:val="none"/>
        </w:rPr>
        <w:br w:type="page" w:clear="all"/>
      </w:r>
      <w:bookmarkStart w:id="333" w:name="_Toc104560893"/>
      <w:r/>
      <w:r/>
    </w:p>
    <w:p>
      <w:pPr>
        <w:pStyle w:val="906"/>
        <w:ind w:firstLine="485"/>
        <w:spacing w:before="156" w:after="156" w:line="280" w:lineRule="exact"/>
        <w:rPr>
          <w:rFonts w:ascii="Times New Roman" w:hAnsi="Times New Roman"/>
          <w:bCs w:val="0"/>
          <w:color w:val="auto"/>
          <w:sz w:val="28"/>
          <w:szCs w:val="24"/>
          <w:highlight w:val="none"/>
        </w:rPr>
      </w:pPr>
      <w:r/>
      <w:bookmarkStart w:id="334" w:name="_Toc157071036"/>
      <w:r/>
      <w:bookmarkStart w:id="335" w:name="_Toc107246275"/>
      <w:r>
        <w:rPr>
          <w:rFonts w:ascii="Times New Roman" w:hAnsi="Times New Roman"/>
          <w:bCs w:val="0"/>
          <w:color w:val="auto"/>
          <w:sz w:val="24"/>
          <w:highlight w:val="none"/>
        </w:rPr>
        <w:t xml:space="preserve">（1）</w:t>
      </w:r>
      <w:r>
        <w:rPr>
          <w:rFonts w:ascii="Times New Roman" w:hAnsi="Times New Roman"/>
          <w:bCs w:val="0"/>
          <w:color w:val="auto"/>
          <w:sz w:val="28"/>
          <w:szCs w:val="24"/>
          <w:highlight w:val="none"/>
        </w:rPr>
        <w:t xml:space="preserve">投标函</w:t>
      </w:r>
      <w:bookmarkEnd w:id="333"/>
      <w:r/>
      <w:bookmarkEnd w:id="334"/>
      <w:r/>
      <w:bookmarkEnd w:id="335"/>
      <w:r/>
      <w:r/>
    </w:p>
    <w:p>
      <w:pPr>
        <w:ind w:firstLine="420"/>
        <w:spacing w:before="156" w:line="360" w:lineRule="exact"/>
        <w:rPr>
          <w:color w:val="auto"/>
          <w:szCs w:val="21"/>
          <w:highlight w:val="none"/>
        </w:rPr>
      </w:pPr>
      <w:r/>
      <w:sdt>
        <w:sdtPr>
          <w15:appearance w15:val="boundingBox"/>
          <w:id w:val="-1977753008"/>
          <w:placeholder>
            <w:docPart w:val="DefaultPlaceholder_-1854013440"/>
          </w:placeholder>
          <w:rPr>
            <w:color w:val="auto"/>
            <w:szCs w:val="21"/>
            <w:highlight w:val="none"/>
            <w:u w:val="single"/>
          </w:rPr>
        </w:sdtPr>
        <w:sdtContent>
          <w:bookmarkStart w:id="336" w:name="_Toc103848580"/>
          <w:bookmarkStart w:id="337" w:name="_Toc96347902"/>
          <w:r>
            <w:rPr>
              <w:rFonts w:hint="eastAsia"/>
              <w:color w:val="auto"/>
              <w:szCs w:val="21"/>
              <w:highlight w:val="none"/>
              <w:u w:val="single"/>
            </w:rPr>
            <w:t xml:space="preserve">苏州城市学院</w:t>
          </w:r>
        </w:sdtContent>
      </w:sdt>
      <w:r>
        <w:rPr>
          <w:color w:val="auto"/>
          <w:szCs w:val="21"/>
          <w:highlight w:val="none"/>
        </w:rPr>
        <w:t xml:space="preserve">（采购人）：</w:t>
      </w:r>
      <w:r/>
    </w:p>
    <w:p>
      <w:pPr>
        <w:ind w:left="420"/>
        <w:jc w:val="left"/>
        <w:spacing w:before="156" w:line="360" w:lineRule="exact"/>
        <w:rPr>
          <w:color w:val="auto"/>
          <w:szCs w:val="21"/>
          <w:highlight w:val="none"/>
        </w:rPr>
      </w:pPr>
      <w:r>
        <w:rPr>
          <w:color w:val="auto"/>
          <w:szCs w:val="21"/>
          <w:highlight w:val="none"/>
          <w:u w:val="single"/>
        </w:rPr>
        <w:t xml:space="preserve">       (投标人全称)   </w:t>
      </w:r>
      <w:r>
        <w:rPr>
          <w:color w:val="auto"/>
          <w:szCs w:val="21"/>
          <w:highlight w:val="none"/>
        </w:rPr>
        <w:t xml:space="preserve">授权</w:t>
      </w:r>
      <w:r>
        <w:rPr>
          <w:color w:val="auto"/>
          <w:szCs w:val="21"/>
          <w:highlight w:val="none"/>
          <w:u w:val="single"/>
        </w:rPr>
        <w:t xml:space="preserve">   （授权代表姓名）   （职位）</w:t>
      </w:r>
      <w:r>
        <w:rPr>
          <w:color w:val="auto"/>
          <w:szCs w:val="21"/>
          <w:highlight w:val="none"/>
        </w:rPr>
        <w:t xml:space="preserve">为全权代表，参加贵方组织的</w:t>
      </w:r>
      <w:r>
        <w:rPr>
          <w:color w:val="auto"/>
          <w:szCs w:val="21"/>
          <w:highlight w:val="none"/>
          <w:u w:val="single"/>
        </w:rPr>
        <w:t xml:space="preserve"> </w:t>
      </w:r>
      <w:sdt>
        <w:sdtPr>
          <w15:appearance w15:val="boundingBox"/>
          <w:id w:val="934785737"/>
          <w:placeholder>
            <w:docPart w:val="DefaultPlaceholder_-1854013440"/>
          </w:placeholder>
          <w:rPr>
            <w:color w:val="auto"/>
            <w:szCs w:val="21"/>
            <w:highlight w:val="none"/>
            <w:u w:val="single"/>
          </w:rPr>
        </w:sdtPr>
        <w:sdtContent>
          <w:r>
            <w:rPr>
              <w:rFonts w:hint="eastAsia"/>
              <w:color w:val="auto"/>
              <w:szCs w:val="21"/>
              <w:highlight w:val="none"/>
              <w:u w:val="single"/>
            </w:rPr>
            <w:t xml:space="preserve">    项</w:t>
          </w:r>
          <w:r>
            <w:rPr>
              <w:color w:val="auto"/>
              <w:szCs w:val="21"/>
              <w:highlight w:val="none"/>
              <w:u w:val="single"/>
            </w:rPr>
            <w:t xml:space="preserve">目</w:t>
          </w:r>
        </w:sdtContent>
      </w:sdt>
      <w:r>
        <w:rPr>
          <w:color w:val="auto"/>
          <w:szCs w:val="21"/>
          <w:highlight w:val="none"/>
          <w:u w:val="single"/>
        </w:rPr>
        <w:t xml:space="preserve">（项目名称）（项目编号</w:t>
      </w:r>
      <w:r>
        <w:rPr>
          <w:rFonts w:hint="eastAsia"/>
          <w:color w:val="auto"/>
          <w:szCs w:val="21"/>
          <w:highlight w:val="none"/>
          <w:u w:val="single"/>
        </w:rPr>
        <w:t xml:space="preserve">：       </w:t>
      </w:r>
      <w:r>
        <w:rPr>
          <w:color w:val="auto"/>
          <w:szCs w:val="21"/>
          <w:highlight w:val="none"/>
          <w:u w:val="single"/>
        </w:rPr>
        <w:t xml:space="preserve">）</w:t>
      </w:r>
      <w:r>
        <w:rPr>
          <w:color w:val="auto"/>
          <w:szCs w:val="21"/>
          <w:highlight w:val="none"/>
        </w:rPr>
        <w:t xml:space="preserve">投标的有关活动，并对此项目进行投标。</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04"/>
        <w:ind w:firstLine="420"/>
        <w:jc w:val="left"/>
        <w:spacing w:after="156" w:line="360" w:lineRule="exact"/>
        <w:rPr>
          <w:rFonts w:ascii="Times New Roman" w:hAnsi="Times New Roman"/>
          <w:color w:val="auto"/>
          <w:highlight w:val="none"/>
        </w:rPr>
      </w:pPr>
      <w:r>
        <w:rPr>
          <w:rFonts w:ascii="Times New Roman" w:hAnsi="Times New Roman"/>
          <w:color w:val="auto"/>
          <w:highlight w:val="none"/>
        </w:rPr>
        <w:t xml:space="preserve">1、提供投标人须知规定的全部投标文件：正本1份，副本</w:t>
      </w:r>
      <w:r>
        <w:rPr>
          <w:rFonts w:ascii="Times New Roman" w:hAnsi="Times New Roman"/>
          <w:color w:val="auto"/>
          <w:highlight w:val="none"/>
          <w:u w:val="single"/>
        </w:rPr>
        <w:t xml:space="preserve">    </w:t>
      </w:r>
      <w:r>
        <w:rPr>
          <w:rFonts w:ascii="Times New Roman" w:hAnsi="Times New Roman"/>
          <w:color w:val="auto"/>
          <w:highlight w:val="none"/>
        </w:rPr>
        <w:t xml:space="preserve">份，电子版文件</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904"/>
        <w:ind w:firstLine="420"/>
        <w:jc w:val="left"/>
        <w:spacing w:after="156" w:line="360" w:lineRule="exact"/>
        <w:rPr>
          <w:rFonts w:ascii="Times New Roman" w:hAnsi="Times New Roman"/>
          <w:color w:val="auto"/>
          <w:highlight w:val="none"/>
        </w:rPr>
      </w:pPr>
      <w:r>
        <w:rPr>
          <w:rFonts w:ascii="Times New Roman" w:hAnsi="Times New Roman"/>
          <w:color w:val="auto"/>
          <w:highlight w:val="none"/>
        </w:rPr>
        <w:t xml:space="preserve">2、我方将按采购文件的规定履行全部责任和义务。</w:t>
      </w:r>
      <w:r/>
    </w:p>
    <w:p>
      <w:pPr>
        <w:pStyle w:val="904"/>
        <w:ind w:firstLine="420"/>
        <w:jc w:val="left"/>
        <w:spacing w:after="156"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904"/>
        <w:ind w:firstLine="420"/>
        <w:jc w:val="left"/>
        <w:spacing w:after="156" w:line="360" w:lineRule="exact"/>
        <w:rPr>
          <w:rFonts w:ascii="Times New Roman" w:hAnsi="Times New Roman"/>
          <w:color w:val="auto"/>
          <w:highlight w:val="none"/>
        </w:rPr>
      </w:pPr>
      <w:r>
        <w:rPr>
          <w:rFonts w:ascii="Times New Roman" w:hAnsi="Times New Roman"/>
          <w:color w:val="auto"/>
          <w:szCs w:val="21"/>
          <w:highlight w:val="none"/>
        </w:rPr>
        <w:t xml:space="preserve">4、本投标有效期为自投标日起</w:t>
      </w:r>
      <w:sdt>
        <w:sdtPr>
          <w15:appearance w15:val="boundingBox"/>
          <w:id w:val="-1908601311"/>
          <w:placeholder>
            <w:docPart w:val="DefaultPlaceholder_-1854013440"/>
          </w:placeholder>
          <w:rPr>
            <w:rFonts w:ascii="Times New Roman" w:hAnsi="Times New Roman"/>
            <w:color w:val="auto"/>
            <w:szCs w:val="21"/>
            <w:highlight w:val="none"/>
          </w:rPr>
        </w:sdtPr>
        <w:sdtContent>
          <w:r>
            <w:rPr>
              <w:rFonts w:ascii="Times New Roman" w:hAnsi="Times New Roman"/>
              <w:color w:val="auto"/>
              <w:szCs w:val="21"/>
              <w:highlight w:val="none"/>
              <w:u w:val="single"/>
            </w:rPr>
            <w:t xml:space="preserve">90日历天</w:t>
          </w:r>
        </w:sdtContent>
      </w:sdt>
      <w:r>
        <w:rPr>
          <w:rFonts w:ascii="Times New Roman" w:hAnsi="Times New Roman"/>
          <w:color w:val="auto"/>
          <w:szCs w:val="21"/>
          <w:highlight w:val="none"/>
        </w:rPr>
        <w:t xml:space="preserve">。</w:t>
      </w:r>
      <w:r/>
    </w:p>
    <w:p>
      <w:pPr>
        <w:pStyle w:val="904"/>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5、如果在规定的递交投标文件截止时间后，我方在投标有效期内撤销投标文件，投标保证金将不予退还。</w:t>
      </w:r>
      <w:r/>
    </w:p>
    <w:p>
      <w:pPr>
        <w:pStyle w:val="904"/>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904"/>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7、我方在法律和财务上独立、合法运作并独立于采购方，与采购人为本项目所委托的咨询单位或其附属机构没有直接或间接的任何关联。</w:t>
      </w:r>
      <w:r/>
    </w:p>
    <w:p>
      <w:pPr>
        <w:pStyle w:val="904"/>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04"/>
        <w:ind w:firstLine="420"/>
        <w:jc w:val="left"/>
        <w:spacing w:after="156"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904"/>
        <w:ind w:firstLine="420"/>
        <w:jc w:val="left"/>
        <w:spacing w:after="156"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与本投标有关的一切往来通讯请寄：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投标人名称（公章）：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u w:val="single"/>
        </w:rPr>
      </w:pPr>
      <w:r>
        <w:rPr>
          <w:color w:val="auto"/>
          <w:szCs w:val="21"/>
          <w:highlight w:val="none"/>
        </w:rPr>
        <w:t xml:space="preserve">法定代表人或其授权代表（签字或盖章）：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412"/>
        <w:jc w:val="left"/>
        <w:spacing w:line="276" w:lineRule="auto"/>
        <w:rPr>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06"/>
        <w:ind w:firstLine="649"/>
        <w:spacing w:before="156" w:after="156"/>
        <w:rPr>
          <w:rFonts w:ascii="Times New Roman" w:hAnsi="Times New Roman"/>
          <w:bCs w:val="0"/>
          <w:color w:val="auto"/>
          <w:sz w:val="24"/>
          <w:szCs w:val="24"/>
          <w:highlight w:val="none"/>
        </w:rPr>
      </w:pPr>
      <w:r>
        <w:rPr>
          <w:rFonts w:ascii="Times New Roman" w:hAnsi="Times New Roman"/>
          <w:bCs w:val="0"/>
          <w:color w:val="auto"/>
          <w:highlight w:val="none"/>
        </w:rPr>
        <w:br w:type="page" w:clear="all"/>
      </w:r>
      <w:bookmarkStart w:id="338" w:name="_Toc104560898"/>
      <w:r/>
      <w:bookmarkStart w:id="339" w:name="_Toc103848583"/>
      <w:r/>
      <w:bookmarkStart w:id="340" w:name="_Toc157071037"/>
      <w:r/>
      <w:bookmarkStart w:id="341" w:name="_Toc107246276"/>
      <w:r>
        <w:rPr>
          <w:rFonts w:ascii="Times New Roman" w:hAnsi="Times New Roman"/>
          <w:bCs w:val="0"/>
          <w:color w:val="auto"/>
          <w:sz w:val="24"/>
          <w:szCs w:val="24"/>
          <w:highlight w:val="none"/>
        </w:rPr>
        <w:t xml:space="preserve">（2）</w:t>
      </w:r>
      <w:bookmarkEnd w:id="338"/>
      <w:r/>
      <w:bookmarkEnd w:id="339"/>
      <w:r>
        <w:rPr>
          <w:rFonts w:ascii="Times New Roman" w:hAnsi="Times New Roman"/>
          <w:bCs w:val="0"/>
          <w:color w:val="auto"/>
          <w:sz w:val="24"/>
          <w:szCs w:val="24"/>
          <w:highlight w:val="none"/>
        </w:rPr>
        <w:t xml:space="preserve">法定代表人（非法人单位负责人）身份证明</w:t>
      </w:r>
      <w:bookmarkEnd w:id="340"/>
      <w:r/>
      <w:bookmarkEnd w:id="341"/>
      <w:r/>
      <w:r/>
    </w:p>
    <w:p>
      <w:pPr>
        <w:pStyle w:val="884"/>
        <w:ind w:left="1236" w:firstLine="420"/>
        <w:spacing w:after="156"/>
        <w:tabs>
          <w:tab w:val="left" w:pos="4228" w:leader="none"/>
        </w:tabs>
        <w:rPr>
          <w:color w:val="auto"/>
          <w:spacing w:val="-1"/>
          <w:highlight w:val="none"/>
        </w:rPr>
      </w:pPr>
      <w:r>
        <w:rPr>
          <w:color w:val="auto"/>
          <w:spacing w:val="-1"/>
          <w:highlight w:val="none"/>
        </w:rPr>
      </w:r>
      <w:r/>
    </w:p>
    <w:p>
      <w:pPr>
        <w:pStyle w:val="884"/>
        <w:ind w:left="1236" w:firstLine="420"/>
        <w:spacing w:after="156"/>
        <w:tabs>
          <w:tab w:val="left" w:pos="4228" w:leader="none"/>
        </w:tabs>
        <w:rPr>
          <w:color w:val="auto"/>
          <w:spacing w:val="-1"/>
          <w:highlight w:val="none"/>
        </w:rPr>
      </w:pPr>
      <w:r>
        <w:rPr>
          <w:color w:val="auto"/>
          <w:spacing w:val="-1"/>
          <w:highlight w:val="none"/>
        </w:rPr>
      </w:r>
      <w:r/>
    </w:p>
    <w:p>
      <w:pPr>
        <w:pStyle w:val="884"/>
        <w:ind w:firstLine="420"/>
        <w:spacing w:after="156"/>
        <w:tabs>
          <w:tab w:val="left" w:pos="4228" w:leader="none"/>
        </w:tabs>
        <w:rPr>
          <w:color w:val="auto"/>
          <w:highlight w:val="none"/>
        </w:rPr>
      </w:pPr>
      <w:r>
        <w:rPr>
          <w:color w:val="auto"/>
          <w:highlight w:val="none"/>
        </w:rPr>
        <w:t xml:space="preserve">投标人名</w:t>
      </w:r>
      <w:r>
        <w:rPr>
          <w:color w:val="auto"/>
          <w:spacing w:val="-3"/>
          <w:highlight w:val="none"/>
        </w:rPr>
        <w:t xml:space="preserve">称</w:t>
      </w:r>
      <w:r>
        <w:rPr>
          <w:color w:val="auto"/>
          <w:highlight w:val="none"/>
        </w:rPr>
        <w:t xml:space="preserve">：</w:t>
      </w:r>
      <w:r>
        <w:rPr>
          <w:color w:val="auto"/>
          <w:highlight w:val="none"/>
          <w:u w:val="single"/>
        </w:rPr>
        <w:t xml:space="preserve"> </w:t>
      </w:r>
      <w:r>
        <w:rPr>
          <w:color w:val="auto"/>
          <w:highlight w:val="none"/>
          <w:u w:val="single"/>
        </w:rPr>
        <w:tab/>
      </w:r>
      <w:r/>
    </w:p>
    <w:p>
      <w:pPr>
        <w:pStyle w:val="884"/>
        <w:ind w:firstLine="420"/>
        <w:spacing w:before="156" w:after="156"/>
        <w:tabs>
          <w:tab w:val="left" w:pos="2712" w:leader="none"/>
          <w:tab w:val="left" w:pos="4183" w:leader="none"/>
          <w:tab w:val="left" w:pos="5652" w:leader="none"/>
          <w:tab w:val="left" w:pos="7169" w:leader="none"/>
        </w:tabs>
        <w:rPr>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color w:val="auto"/>
          <w:highlight w:val="none"/>
          <w:u w:val="single"/>
        </w:rPr>
        <w:t xml:space="preserve"> </w:t>
      </w:r>
      <w:r>
        <w:rPr>
          <w:color w:val="auto"/>
          <w:highlight w:val="none"/>
          <w:u w:val="single"/>
        </w:rPr>
        <w:tab/>
      </w:r>
      <w:r/>
    </w:p>
    <w:p>
      <w:pPr>
        <w:pStyle w:val="884"/>
        <w:ind w:firstLine="420"/>
        <w:spacing w:before="156" w:after="156"/>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人/非法人单位负责人。</w:t>
      </w:r>
      <w:r/>
    </w:p>
    <w:p>
      <w:pPr>
        <w:pStyle w:val="884"/>
        <w:ind w:firstLine="420"/>
        <w:spacing w:before="156" w:after="156"/>
        <w:rPr>
          <w:color w:val="auto"/>
          <w:highlight w:val="none"/>
        </w:rPr>
      </w:pPr>
      <w:r>
        <w:rPr>
          <w:color w:val="auto"/>
          <w:highlight w:val="none"/>
        </w:rPr>
        <w:t xml:space="preserve">特此证明。</w:t>
      </w:r>
      <w:r/>
    </w:p>
    <w:p>
      <w:pPr>
        <w:pStyle w:val="884"/>
        <w:ind w:left="1260" w:firstLine="404"/>
        <w:spacing w:after="156"/>
        <w:rPr>
          <w:color w:val="auto"/>
          <w:sz w:val="20"/>
          <w:highlight w:val="none"/>
        </w:rPr>
      </w:pPr>
      <w:r>
        <w:rPr>
          <w:color w:val="auto"/>
          <w:sz w:val="20"/>
          <w:highlight w:val="none"/>
        </w:rPr>
      </w:r>
      <w:r/>
    </w:p>
    <w:p>
      <w:pPr>
        <w:pStyle w:val="884"/>
        <w:ind w:left="1260" w:firstLine="545"/>
        <w:spacing w:before="156" w:after="156"/>
        <w:rPr>
          <w:color w:val="auto"/>
          <w:sz w:val="27"/>
          <w:highlight w:val="none"/>
        </w:rPr>
      </w:pPr>
      <w:r>
        <w:rPr>
          <w:color w:val="auto"/>
          <w:sz w:val="27"/>
          <w:highlight w:val="none"/>
        </w:rPr>
      </w:r>
      <w:r/>
    </w:p>
    <w:p>
      <w:pPr>
        <w:spacing w:line="480" w:lineRule="auto"/>
        <w:rPr>
          <w:color w:val="auto"/>
          <w:highlight w:val="none"/>
        </w:rPr>
      </w:pPr>
      <w:r>
        <w:rPr>
          <w:color w:val="auto"/>
          <w:highlight w:val="none"/>
        </w:rPr>
        <w:t xml:space="preserve">附：法定代表人（非法人单位负责人）有效期内的身份证复印件（正反面）</w:t>
      </w:r>
      <w:r/>
    </w:p>
    <w:p>
      <w:pPr>
        <w:pStyle w:val="884"/>
        <w:ind w:left="1260" w:firstLine="404"/>
        <w:spacing w:after="156"/>
        <w:rPr>
          <w:color w:val="auto"/>
          <w:sz w:val="20"/>
          <w:highlight w:val="none"/>
        </w:rPr>
      </w:pPr>
      <w:r>
        <w:rPr>
          <w:color w:val="auto"/>
          <w:sz w:val="20"/>
          <w:highlight w:val="none"/>
        </w:rPr>
      </w:r>
      <w:r/>
    </w:p>
    <w:tbl>
      <w:tblPr>
        <w:tblStyle w:val="877"/>
        <w:tblW w:w="9292"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8"/>
        <w:gridCol w:w="4704"/>
      </w:tblGrid>
      <w:tr>
        <w:trPr>
          <w:jc w:val="right"/>
          <w:trHeight w:val="2967"/>
        </w:trPr>
        <w:tc>
          <w:tcPr>
            <w:tcW w:w="4588" w:type="dxa"/>
            <w:vAlign w:val="center"/>
            <w:textDirection w:val="lrTb"/>
            <w:noWrap w:val="false"/>
          </w:tcPr>
          <w:p>
            <w:pPr>
              <w:pStyle w:val="884"/>
              <w:ind w:firstLine="1478"/>
              <w:spacing w:after="156"/>
              <w:rPr>
                <w:color w:val="auto"/>
                <w:sz w:val="20"/>
                <w:highlight w:val="none"/>
              </w:rPr>
            </w:pPr>
            <w:r>
              <w:rPr>
                <w:i/>
                <w:color w:val="auto"/>
                <w:sz w:val="24"/>
                <w:highlight w:val="none"/>
              </w:rPr>
              <w:t xml:space="preserve">身份证正面</w:t>
            </w:r>
            <w:r/>
          </w:p>
        </w:tc>
        <w:tc>
          <w:tcPr>
            <w:tcW w:w="4704" w:type="dxa"/>
            <w:vAlign w:val="center"/>
            <w:textDirection w:val="lrTb"/>
            <w:noWrap w:val="false"/>
          </w:tcPr>
          <w:p>
            <w:pPr>
              <w:ind w:firstLine="1680"/>
              <w:jc w:val="left"/>
              <w:widowControl/>
              <w:rPr>
                <w:color w:val="auto"/>
                <w:highlight w:val="none"/>
              </w:rPr>
            </w:pPr>
            <w:r>
              <w:rPr>
                <w:i/>
                <w:color w:val="auto"/>
                <w:sz w:val="24"/>
                <w:highlight w:val="none"/>
              </w:rPr>
              <w:t xml:space="preserve">身份证反面</w:t>
            </w:r>
            <w:r/>
          </w:p>
        </w:tc>
      </w:tr>
    </w:tbl>
    <w:p>
      <w:pPr>
        <w:pStyle w:val="884"/>
        <w:ind w:firstLine="404"/>
        <w:spacing w:after="156"/>
        <w:rPr>
          <w:color w:val="auto"/>
          <w:sz w:val="20"/>
          <w:highlight w:val="none"/>
        </w:rPr>
      </w:pPr>
      <w:r>
        <w:rPr>
          <w:color w:val="auto"/>
          <w:sz w:val="20"/>
          <w:highlight w:val="none"/>
        </w:rPr>
      </w:r>
      <w:r/>
    </w:p>
    <w:p>
      <w:pPr>
        <w:pStyle w:val="884"/>
        <w:ind w:firstLine="404"/>
        <w:spacing w:after="156"/>
        <w:rPr>
          <w:color w:val="auto"/>
          <w:sz w:val="20"/>
          <w:highlight w:val="none"/>
        </w:rPr>
      </w:pPr>
      <w:r>
        <w:rPr>
          <w:color w:val="auto"/>
          <w:sz w:val="20"/>
          <w:highlight w:val="none"/>
        </w:rPr>
      </w:r>
      <w:r/>
    </w:p>
    <w:p>
      <w:pPr>
        <w:pStyle w:val="884"/>
        <w:ind w:left="1260" w:firstLine="404"/>
        <w:spacing w:after="156"/>
        <w:rPr>
          <w:color w:val="auto"/>
          <w:sz w:val="20"/>
          <w:highlight w:val="none"/>
        </w:rPr>
      </w:pPr>
      <w:r>
        <w:rPr>
          <w:color w:val="auto"/>
          <w:sz w:val="20"/>
          <w:highlight w:val="none"/>
        </w:rPr>
      </w:r>
      <w:r/>
    </w:p>
    <w:p>
      <w:pPr>
        <w:pStyle w:val="884"/>
        <w:ind w:left="1260" w:firstLine="444"/>
        <w:spacing w:before="156" w:after="156"/>
        <w:rPr>
          <w:color w:val="auto"/>
          <w:sz w:val="22"/>
          <w:highlight w:val="none"/>
        </w:rPr>
      </w:pPr>
      <w:r>
        <w:rPr>
          <w:color w:val="auto"/>
          <w:sz w:val="22"/>
          <w:highlight w:val="none"/>
        </w:rPr>
      </w:r>
      <w:r/>
    </w:p>
    <w:p>
      <w:pPr>
        <w:pStyle w:val="884"/>
        <w:ind w:left="1260" w:firstLine="3060"/>
        <w:spacing w:after="156"/>
        <w:tabs>
          <w:tab w:val="left" w:pos="7977" w:leader="none"/>
        </w:tabs>
        <w:rPr>
          <w:color w:val="auto"/>
          <w:highlight w:val="none"/>
        </w:rPr>
      </w:pPr>
      <w:r>
        <w:rPr>
          <w:color w:val="auto"/>
          <w:spacing w:val="-3"/>
          <w:highlight w:val="none"/>
        </w:rPr>
        <w:t xml:space="preserve">投标人名称（公章）</w:t>
      </w:r>
      <w:r>
        <w:rPr>
          <w:color w:val="auto"/>
          <w:highlight w:val="none"/>
        </w:rPr>
        <w:t xml:space="preserve">：</w:t>
      </w:r>
      <w:r>
        <w:rPr>
          <w:color w:val="auto"/>
          <w:highlight w:val="none"/>
          <w:u w:val="single"/>
        </w:rPr>
        <w:t xml:space="preserve"> </w:t>
      </w:r>
      <w:r>
        <w:rPr>
          <w:color w:val="auto"/>
          <w:highlight w:val="none"/>
          <w:u w:val="single"/>
        </w:rPr>
        <w:tab/>
      </w:r>
      <w:r/>
    </w:p>
    <w:p>
      <w:pPr>
        <w:ind w:firstLine="412"/>
        <w:rPr>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06"/>
        <w:ind w:firstLine="487"/>
        <w:spacing w:before="156" w:after="156"/>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342" w:name="_Toc103848584"/>
      <w:r/>
      <w:bookmarkStart w:id="343" w:name="_Toc107246277"/>
      <w:r/>
      <w:bookmarkStart w:id="344" w:name="_Toc104560899"/>
      <w:r/>
      <w:bookmarkStart w:id="345" w:name="_Toc157071038"/>
      <w:r>
        <w:rPr>
          <w:rFonts w:ascii="Times New Roman" w:hAnsi="Times New Roman"/>
          <w:bCs w:val="0"/>
          <w:color w:val="auto"/>
          <w:sz w:val="24"/>
          <w:szCs w:val="24"/>
          <w:highlight w:val="none"/>
        </w:rPr>
        <w:t xml:space="preserve">（3</w:t>
      </w:r>
      <w:r>
        <w:rPr>
          <w:rFonts w:hint="eastAsia" w:ascii="Times New Roman" w:hAnsi="Times New Roman"/>
          <w:bCs w:val="0"/>
          <w:color w:val="auto"/>
          <w:sz w:val="24"/>
          <w:szCs w:val="24"/>
          <w:highlight w:val="none"/>
        </w:rPr>
        <w:t xml:space="preserve">-1</w:t>
      </w:r>
      <w:r>
        <w:rPr>
          <w:rFonts w:ascii="Times New Roman" w:hAnsi="Times New Roman"/>
          <w:bCs w:val="0"/>
          <w:color w:val="auto"/>
          <w:sz w:val="24"/>
          <w:szCs w:val="24"/>
          <w:highlight w:val="none"/>
        </w:rPr>
        <w:t xml:space="preserve">）法定代表人授权委托书</w:t>
      </w:r>
      <w:bookmarkEnd w:id="342"/>
      <w:r/>
      <w:bookmarkEnd w:id="343"/>
      <w:r/>
      <w:bookmarkEnd w:id="344"/>
      <w:r>
        <w:rPr>
          <w:rFonts w:ascii="Times New Roman" w:hAnsi="Times New Roman"/>
          <w:bCs w:val="0"/>
          <w:color w:val="auto"/>
          <w:sz w:val="24"/>
          <w:szCs w:val="24"/>
          <w:highlight w:val="none"/>
        </w:rPr>
        <w:t xml:space="preserve">（适用于法人/非法人）</w:t>
      </w:r>
      <w:bookmarkEnd w:id="345"/>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（单位名称）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代表本单位授权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为本单位的合法代理人，就</w:t>
      </w:r>
      <w:sdt>
        <w:sdtPr>
          <w15:appearance w15:val="boundingBox"/>
          <w:id w:val="1260413918"/>
          <w:placeholder>
            <w:docPart w:val="01A1DFC42AC64084805BB4320526FF1E"/>
          </w:placeholder>
          <w:rPr>
            <w:color w:val="auto"/>
            <w:szCs w:val="21"/>
            <w:highlight w:val="none"/>
            <w:u w:val="single"/>
          </w:rPr>
        </w:sdtPr>
        <w:sdtContent>
          <w:r>
            <w:rPr>
              <w:rFonts w:hint="eastAsia"/>
              <w:color w:val="auto"/>
              <w:szCs w:val="21"/>
              <w:highlight w:val="none"/>
              <w:u w:val="single"/>
            </w:rPr>
            <w:t xml:space="preserve">            </w:t>
          </w:r>
          <w:r>
            <w:rPr>
              <w:color w:val="auto"/>
              <w:szCs w:val="21"/>
              <w:highlight w:val="none"/>
              <w:u w:val="single"/>
            </w:rPr>
            <w:t xml:space="preserve">项目</w:t>
          </w:r>
        </w:sdtContent>
      </w:sdt>
      <w:r>
        <w:rPr>
          <w:color w:val="auto"/>
          <w:szCs w:val="21"/>
          <w:highlight w:val="none"/>
          <w:u w:val="single"/>
        </w:rPr>
        <w:t xml:space="preserve">（项目名称）（项目编号：</w:t>
      </w:r>
      <w:r>
        <w:rPr>
          <w:rFonts w:hint="eastAsia"/>
          <w:color w:val="auto"/>
          <w:szCs w:val="21"/>
          <w:highlight w:val="none"/>
          <w:u w:val="single"/>
        </w:rPr>
        <w:t xml:space="preserve">    </w:t>
      </w:r>
      <w:r>
        <w:rPr>
          <w:color w:val="auto"/>
          <w:szCs w:val="21"/>
          <w:highlight w:val="none"/>
          <w:u w:val="single"/>
        </w:rPr>
        <w:t xml:space="preserve">）</w:t>
      </w:r>
      <w:r>
        <w:rPr>
          <w:color w:val="auto"/>
          <w:szCs w:val="21"/>
          <w:highlight w:val="none"/>
        </w:rPr>
        <w:t xml:space="preserve">以本单位名义处理一切与之相关的事务，其后果由我单位承担。</w:t>
      </w:r>
      <w:r/>
    </w:p>
    <w:p>
      <w:pPr>
        <w:ind w:firstLine="420"/>
        <w:spacing w:line="300" w:lineRule="exact"/>
        <w:rPr>
          <w:color w:val="auto"/>
          <w:highlight w:val="none"/>
        </w:rPr>
      </w:pPr>
      <w:r>
        <w:rPr>
          <w:color w:val="auto"/>
          <w:highlight w:val="none"/>
        </w:rPr>
        <w:t xml:space="preserve">代理人无转委托权，特此委托。</w:t>
      </w:r>
      <w:r/>
    </w:p>
    <w:p>
      <w:pPr>
        <w:ind w:firstLine="420"/>
        <w:spacing w:line="300" w:lineRule="exact"/>
        <w:rPr>
          <w:color w:val="auto"/>
          <w:szCs w:val="21"/>
          <w:highlight w:val="none"/>
        </w:rPr>
      </w:pPr>
      <w:r>
        <w:rPr>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color w:val="auto"/>
          <w:szCs w:val="21"/>
          <w:highlight w:val="none"/>
        </w:rPr>
        <w:t xml:space="preserve">投标人名称（公章）：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04"/>
        <w:ind w:firstLine="420"/>
        <w:spacing w:after="156"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04"/>
        <w:ind w:firstLine="420"/>
        <w:spacing w:after="156"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color w:val="auto"/>
          <w:highlight w:val="none"/>
        </w:rPr>
      </w:pPr>
      <w:r>
        <w:rPr>
          <w:color w:val="auto"/>
          <w:szCs w:val="21"/>
          <w:highlight w:val="none"/>
        </w:rPr>
        <w:t xml:space="preserve">附：法定代表人有效期内的</w:t>
      </w:r>
      <w:r>
        <w:rPr>
          <w:color w:val="auto"/>
          <w:highlight w:val="none"/>
        </w:rPr>
        <w:t xml:space="preserve">身份证复印件（正反面）</w:t>
      </w:r>
      <w:r/>
    </w:p>
    <w:tbl>
      <w:tblPr>
        <w:tblStyle w:val="87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4"/>
              <w:ind w:firstLine="485"/>
              <w:jc w:val="center"/>
              <w:spacing w:after="156"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404"/>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ind w:firstLine="485"/>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color w:val="auto"/>
          <w:highlight w:val="none"/>
        </w:rPr>
      </w:pPr>
      <w:r>
        <w:rPr>
          <w:color w:val="auto"/>
          <w:szCs w:val="21"/>
          <w:highlight w:val="none"/>
        </w:rPr>
        <w:t xml:space="preserve">授权代表有效期内的身份证复印件</w:t>
      </w:r>
      <w:r>
        <w:rPr>
          <w:color w:val="auto"/>
          <w:highlight w:val="none"/>
        </w:rPr>
        <w:t xml:space="preserve">（正反面）</w:t>
      </w:r>
      <w:r/>
    </w:p>
    <w:tbl>
      <w:tblPr>
        <w:tblStyle w:val="87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4"/>
              <w:ind w:firstLine="485"/>
              <w:jc w:val="center"/>
              <w:spacing w:after="156"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404"/>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ind w:firstLine="485"/>
              <w:jc w:val="center"/>
              <w:spacing w:line="300" w:lineRule="exact"/>
              <w:widowControl/>
              <w:rPr>
                <w:color w:val="auto"/>
                <w:sz w:val="20"/>
                <w:highlight w:val="none"/>
              </w:rPr>
            </w:pPr>
            <w:r>
              <w:rPr>
                <w:i/>
                <w:color w:val="auto"/>
                <w:sz w:val="24"/>
                <w:highlight w:val="none"/>
              </w:rPr>
              <w:t xml:space="preserve">身份证反面</w:t>
            </w:r>
            <w:r/>
          </w:p>
        </w:tc>
      </w:tr>
    </w:tbl>
    <w:p>
      <w:pPr>
        <w:pStyle w:val="904"/>
        <w:ind w:firstLine="426"/>
        <w:spacing w:after="156"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 </w:t>
      </w:r>
      <w:r/>
    </w:p>
    <w:p>
      <w:pPr>
        <w:pStyle w:val="904"/>
        <w:ind w:firstLine="426"/>
        <w:spacing w:after="156"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04"/>
        <w:ind w:firstLine="426"/>
        <w:spacing w:after="156"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46" w:name="_Toc104560895"/>
      <w:r/>
      <w:bookmarkStart w:id="347" w:name="_Toc107246279"/>
      <w:r>
        <w:rPr>
          <w:b/>
          <w:bCs/>
          <w:color w:val="auto"/>
          <w:szCs w:val="21"/>
          <w:highlight w:val="none"/>
        </w:rPr>
        <w:br w:type="page" w:clear="all"/>
      </w:r>
      <w:r/>
    </w:p>
    <w:p>
      <w:pPr>
        <w:pStyle w:val="906"/>
        <w:ind w:firstLine="487"/>
        <w:spacing w:before="156" w:after="156"/>
        <w:rPr>
          <w:rFonts w:ascii="Times New Roman" w:hAnsi="Times New Roman"/>
          <w:bCs w:val="0"/>
          <w:color w:val="auto"/>
          <w:sz w:val="21"/>
          <w:szCs w:val="24"/>
          <w:highlight w:val="none"/>
        </w:rPr>
      </w:pPr>
      <w:r/>
      <w:bookmarkStart w:id="348" w:name="_Toc157071039"/>
      <w:r/>
      <w:bookmarkStart w:id="349" w:name="_Toc107246278"/>
      <w:r/>
      <w:bookmarkStart w:id="350" w:name="_Toc104560900"/>
      <w:r/>
      <w:bookmarkStart w:id="351" w:name="_Toc103848585"/>
      <w:r/>
      <w:bookmarkStart w:id="352" w:name="_Toc157071040"/>
      <w:r>
        <w:rPr>
          <w:rFonts w:ascii="Times New Roman" w:hAnsi="Times New Roman"/>
          <w:bCs w:val="0"/>
          <w:color w:val="auto"/>
          <w:sz w:val="24"/>
          <w:szCs w:val="24"/>
          <w:highlight w:val="none"/>
        </w:rPr>
        <w:t xml:space="preserve">（3-2）授权委托书（适用于自然人投标）</w:t>
      </w:r>
      <w:bookmarkEnd w:id="348"/>
      <w:r/>
      <w:bookmarkEnd w:id="349"/>
      <w:r/>
      <w:bookmarkEnd w:id="350"/>
      <w:r/>
      <w:bookmarkEnd w:id="351"/>
      <w:r/>
      <w:r/>
    </w:p>
    <w:p>
      <w:pPr>
        <w:rPr>
          <w:color w:val="auto"/>
          <w:highlight w:val="none"/>
        </w:rPr>
      </w:pPr>
      <w:r>
        <w:rPr>
          <w:color w:val="auto"/>
          <w:highlight w:val="none"/>
        </w:rPr>
      </w:r>
      <w:r/>
    </w:p>
    <w:p>
      <w:pPr>
        <w:ind w:firstLine="420"/>
        <w:spacing w:line="460" w:lineRule="exact"/>
        <w:rPr>
          <w:color w:val="auto"/>
          <w:szCs w:val="21"/>
          <w:highlight w:val="none"/>
        </w:rPr>
      </w:pPr>
      <w:r>
        <w:rPr>
          <w:color w:val="auto"/>
          <w:szCs w:val="21"/>
          <w:highlight w:val="none"/>
        </w:rPr>
        <w:t xml:space="preserve">本授权书声明：我</w:t>
      </w:r>
      <w:r>
        <w:rPr>
          <w:color w:val="auto"/>
          <w:szCs w:val="21"/>
          <w:highlight w:val="none"/>
          <w:u w:val="single"/>
        </w:rPr>
        <w:t xml:space="preserve">    （姓名）    </w:t>
      </w:r>
      <w:r>
        <w:rPr>
          <w:color w:val="auto"/>
          <w:szCs w:val="21"/>
          <w:highlight w:val="none"/>
        </w:rPr>
        <w:t xml:space="preserve">系自然人，现授权在授权代表（签字）处签字的</w:t>
      </w:r>
      <w:r>
        <w:rPr>
          <w:color w:val="auto"/>
          <w:szCs w:val="21"/>
          <w:highlight w:val="none"/>
          <w:u w:val="single"/>
        </w:rPr>
        <w:t xml:space="preserve">（授权代表的姓名）（身份证号码：             ）</w:t>
      </w:r>
      <w:r>
        <w:rPr>
          <w:color w:val="auto"/>
          <w:szCs w:val="21"/>
          <w:highlight w:val="none"/>
        </w:rPr>
        <w:t xml:space="preserve">为本人的合法代理人，就</w:t>
      </w:r>
      <w:r>
        <w:rPr>
          <w:rFonts w:hint="eastAsia"/>
          <w:color w:val="auto"/>
          <w:szCs w:val="21"/>
          <w:highlight w:val="none"/>
          <w:u w:val="single"/>
        </w:rPr>
        <w:t xml:space="preserve">       </w:t>
      </w:r>
      <w:r>
        <w:rPr>
          <w:color w:val="auto"/>
          <w:szCs w:val="21"/>
          <w:highlight w:val="none"/>
          <w:u w:val="single"/>
        </w:rPr>
        <w:t xml:space="preserve">项目（项目名称）（项目编号：</w:t>
      </w:r>
      <w:r>
        <w:rPr>
          <w:rFonts w:hint="eastAsia"/>
          <w:color w:val="auto"/>
          <w:szCs w:val="21"/>
          <w:highlight w:val="none"/>
          <w:u w:val="single"/>
        </w:rPr>
        <w:t xml:space="preserve">      </w:t>
      </w:r>
      <w:r>
        <w:rPr>
          <w:color w:val="auto"/>
          <w:szCs w:val="21"/>
          <w:highlight w:val="none"/>
          <w:u w:val="single"/>
        </w:rPr>
        <w:t xml:space="preserve">）</w:t>
      </w:r>
      <w:r>
        <w:rPr>
          <w:color w:val="auto"/>
          <w:szCs w:val="21"/>
          <w:highlight w:val="none"/>
        </w:rPr>
        <w:t xml:space="preserve">，以本人名义处理一切与之相关的事务，其后果由我本人承担。</w:t>
      </w:r>
      <w:r/>
    </w:p>
    <w:p>
      <w:pPr>
        <w:ind w:firstLine="420"/>
        <w:spacing w:line="460" w:lineRule="exact"/>
        <w:rPr>
          <w:color w:val="auto"/>
          <w:highlight w:val="none"/>
        </w:rPr>
      </w:pPr>
      <w:r>
        <w:rPr>
          <w:color w:val="auto"/>
          <w:highlight w:val="none"/>
        </w:rPr>
        <w:t xml:space="preserve">代理人无转委托权，特此委托。</w:t>
      </w:r>
      <w:r/>
    </w:p>
    <w:p>
      <w:pPr>
        <w:ind w:firstLine="420"/>
        <w:spacing w:line="460" w:lineRule="exact"/>
        <w:rPr>
          <w:color w:val="auto"/>
          <w:szCs w:val="21"/>
          <w:highlight w:val="none"/>
        </w:rPr>
      </w:pPr>
      <w:r>
        <w:rPr>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color w:val="auto"/>
          <w:szCs w:val="21"/>
          <w:highlight w:val="none"/>
        </w:rPr>
        <w:t xml:space="preserve">自然人姓名（签字）：  </w:t>
      </w:r>
      <w:r>
        <w:rPr>
          <w:color w:val="auto"/>
          <w:szCs w:val="21"/>
          <w:highlight w:val="none"/>
          <w:u w:val="single"/>
        </w:rPr>
        <w:t xml:space="preserve">                          </w:t>
      </w:r>
      <w:r/>
    </w:p>
    <w:p>
      <w:pPr>
        <w:pStyle w:val="904"/>
        <w:ind w:firstLine="420"/>
        <w:spacing w:after="156"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04"/>
        <w:ind w:firstLine="420"/>
        <w:spacing w:after="156"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color w:val="auto"/>
          <w:highlight w:val="none"/>
        </w:rPr>
      </w:pPr>
      <w:r>
        <w:rPr>
          <w:color w:val="auto"/>
          <w:szCs w:val="21"/>
          <w:highlight w:val="none"/>
        </w:rPr>
        <w:t xml:space="preserve">附：</w:t>
      </w:r>
      <w:r>
        <w:rPr>
          <w:color w:val="auto"/>
          <w:highlight w:val="none"/>
        </w:rPr>
        <w:t xml:space="preserve">自然人</w:t>
      </w:r>
      <w:r>
        <w:rPr>
          <w:color w:val="auto"/>
          <w:szCs w:val="21"/>
          <w:highlight w:val="none"/>
        </w:rPr>
        <w:t xml:space="preserve">有效期内的</w:t>
      </w:r>
      <w:r>
        <w:rPr>
          <w:color w:val="auto"/>
          <w:highlight w:val="none"/>
        </w:rPr>
        <w:t xml:space="preserve">身份证复印件（正反面）</w:t>
      </w:r>
      <w:r/>
    </w:p>
    <w:tbl>
      <w:tblPr>
        <w:tblStyle w:val="87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84"/>
              <w:ind w:firstLine="485"/>
              <w:jc w:val="center"/>
              <w:spacing w:after="156"/>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404"/>
              <w:jc w:val="left"/>
              <w:widowControl/>
              <w:rPr>
                <w:color w:val="auto"/>
                <w:sz w:val="20"/>
                <w:highlight w:val="none"/>
              </w:rPr>
            </w:pPr>
            <w:r>
              <w:rPr>
                <w:color w:val="auto"/>
                <w:sz w:val="20"/>
                <w:highlight w:val="none"/>
              </w:rPr>
            </w:r>
            <w:r/>
          </w:p>
        </w:tc>
        <w:tc>
          <w:tcPr>
            <w:tcW w:w="4677" w:type="dxa"/>
            <w:vAlign w:val="center"/>
            <w:textDirection w:val="lrTb"/>
            <w:noWrap w:val="false"/>
          </w:tcPr>
          <w:p>
            <w:pPr>
              <w:ind w:firstLine="485"/>
              <w:jc w:val="center"/>
              <w:widowControl/>
              <w:rPr>
                <w:color w:val="auto"/>
                <w:sz w:val="20"/>
                <w:highlight w:val="none"/>
              </w:rPr>
            </w:pPr>
            <w:r>
              <w:rPr>
                <w:i/>
                <w:color w:val="auto"/>
                <w:sz w:val="24"/>
                <w:highlight w:val="none"/>
              </w:rPr>
              <w:t xml:space="preserve">身份证反面</w:t>
            </w:r>
            <w:r/>
          </w:p>
        </w:tc>
      </w:tr>
    </w:tbl>
    <w:p>
      <w:pPr>
        <w:pStyle w:val="904"/>
        <w:spacing w:after="156"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授权代表有效期内的身份证复印件（正反面）</w:t>
      </w:r>
      <w:r/>
    </w:p>
    <w:tbl>
      <w:tblPr>
        <w:tblStyle w:val="87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84"/>
              <w:ind w:firstLine="485"/>
              <w:jc w:val="center"/>
              <w:spacing w:after="156"/>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404"/>
              <w:jc w:val="left"/>
              <w:widowControl/>
              <w:rPr>
                <w:color w:val="auto"/>
                <w:sz w:val="20"/>
                <w:highlight w:val="none"/>
              </w:rPr>
            </w:pPr>
            <w:r>
              <w:rPr>
                <w:color w:val="auto"/>
                <w:sz w:val="20"/>
                <w:highlight w:val="none"/>
              </w:rPr>
            </w:r>
            <w:r/>
          </w:p>
        </w:tc>
        <w:tc>
          <w:tcPr>
            <w:tcW w:w="4695" w:type="dxa"/>
            <w:vAlign w:val="center"/>
            <w:textDirection w:val="lrTb"/>
            <w:noWrap w:val="false"/>
          </w:tcPr>
          <w:p>
            <w:pPr>
              <w:ind w:firstLine="485"/>
              <w:jc w:val="center"/>
              <w:widowControl/>
              <w:rPr>
                <w:color w:val="auto"/>
                <w:sz w:val="20"/>
                <w:highlight w:val="none"/>
              </w:rPr>
            </w:pPr>
            <w:r>
              <w:rPr>
                <w:i/>
                <w:color w:val="auto"/>
                <w:sz w:val="24"/>
                <w:highlight w:val="none"/>
              </w:rPr>
              <w:t xml:space="preserve">身份证反面</w:t>
            </w:r>
            <w:r/>
          </w:p>
        </w:tc>
      </w:tr>
    </w:tbl>
    <w:p>
      <w:pPr>
        <w:pStyle w:val="904"/>
        <w:ind w:firstLine="426"/>
        <w:spacing w:after="156" w:line="240" w:lineRule="atLeast"/>
        <w:rPr>
          <w:rFonts w:ascii="Times New Roman" w:hAnsi="Times New Roman"/>
          <w:b/>
          <w:bCs/>
          <w:color w:val="auto"/>
          <w:szCs w:val="21"/>
          <w:highlight w:val="none"/>
        </w:rPr>
      </w:pPr>
      <w:r>
        <w:rPr>
          <w:rFonts w:ascii="Times New Roman" w:hAnsi="Times New Roman"/>
          <w:b/>
          <w:bCs/>
          <w:color w:val="auto"/>
          <w:szCs w:val="21"/>
          <w:highlight w:val="none"/>
        </w:rPr>
        <w:t xml:space="preserve">注：若投标文件中签字之处均为投标自然人本人签署，则可不提供本《授权委托书》，但须提供自然人身份证复印件。</w:t>
      </w:r>
      <w:r/>
    </w:p>
    <w:p>
      <w:pPr>
        <w:jc w:val="left"/>
        <w:widowControl/>
        <w:rPr>
          <w:b/>
          <w:color w:val="auto"/>
          <w:sz w:val="24"/>
          <w:highlight w:val="none"/>
        </w:rPr>
      </w:pPr>
      <w:r>
        <w:rPr>
          <w:bCs/>
          <w:color w:val="auto"/>
          <w:sz w:val="24"/>
          <w:highlight w:val="none"/>
        </w:rPr>
        <w:br w:type="page" w:clear="all"/>
      </w:r>
      <w:r/>
    </w:p>
    <w:p>
      <w:pPr>
        <w:pStyle w:val="906"/>
        <w:ind w:firstLine="487"/>
        <w:spacing w:before="156" w:after="156"/>
        <w:rPr>
          <w:rFonts w:ascii="Times New Roman" w:hAnsi="Times New Roman"/>
          <w:color w:val="auto"/>
          <w:sz w:val="28"/>
          <w:szCs w:val="24"/>
          <w:highlight w:val="none"/>
        </w:rPr>
      </w:pPr>
      <w:r>
        <w:rPr>
          <w:rFonts w:ascii="Times New Roman" w:hAnsi="Times New Roman"/>
          <w:bCs w:val="0"/>
          <w:color w:val="auto"/>
          <w:sz w:val="24"/>
          <w:szCs w:val="24"/>
          <w:highlight w:val="none"/>
        </w:rPr>
        <w:t xml:space="preserve">（4）开标一览表</w:t>
      </w:r>
      <w:bookmarkEnd w:id="336"/>
      <w:r/>
      <w:bookmarkEnd w:id="346"/>
      <w:r/>
      <w:bookmarkEnd w:id="347"/>
      <w:r/>
      <w:bookmarkEnd w:id="352"/>
      <w:r/>
      <w:r/>
    </w:p>
    <w:p>
      <w:pPr>
        <w:ind w:left="-120" w:firstLine="210"/>
        <w:spacing w:line="360" w:lineRule="auto"/>
        <w:rPr>
          <w:color w:val="auto"/>
          <w:szCs w:val="21"/>
          <w:highlight w:val="none"/>
        </w:rPr>
      </w:pPr>
      <w:r>
        <w:rPr>
          <w:color w:val="auto"/>
          <w:szCs w:val="21"/>
          <w:highlight w:val="none"/>
        </w:rPr>
        <w:t xml:space="preserve">项目名称：</w:t>
      </w:r>
      <w:sdt>
        <w:sdtPr>
          <w15:appearance w15:val="boundingBox"/>
          <w:id w:val="-1923865456"/>
          <w:placeholder>
            <w:docPart w:val="DefaultPlaceholder_-1854013440"/>
          </w:placeholder>
          <w:rPr>
            <w:color w:val="auto"/>
            <w:szCs w:val="21"/>
            <w:highlight w:val="none"/>
          </w:rPr>
        </w:sdtPr>
        <w:sdtContent>
          <w:r>
            <w:rPr>
              <w:rFonts w:hint="eastAsia"/>
              <w:color w:val="auto"/>
              <w:szCs w:val="21"/>
              <w:highlight w:val="none"/>
            </w:rPr>
            <w:t xml:space="preserve">        </w:t>
          </w:r>
        </w:sdtContent>
      </w:sdt>
      <w:r/>
      <w:r/>
    </w:p>
    <w:p>
      <w:pPr>
        <w:ind w:left="-120" w:firstLine="210"/>
        <w:spacing w:line="360" w:lineRule="auto"/>
        <w:rPr>
          <w:color w:val="auto"/>
          <w:szCs w:val="21"/>
          <w:highlight w:val="none"/>
          <w:u w:val="single"/>
        </w:rPr>
      </w:pPr>
      <w:r>
        <w:rPr>
          <w:color w:val="auto"/>
          <w:szCs w:val="21"/>
          <w:highlight w:val="none"/>
        </w:rPr>
        <w:t xml:space="preserve">项目编号：</w:t>
      </w:r>
      <w:sdt>
        <w:sdtPr>
          <w15:appearance w15:val="boundingBox"/>
          <w:id w:val="1972713860"/>
          <w:placeholder>
            <w:docPart w:val="DefaultPlaceholder_-1854013440"/>
          </w:placeholder>
          <w:rPr>
            <w:color w:val="auto"/>
            <w:szCs w:val="21"/>
            <w:highlight w:val="none"/>
          </w:rPr>
        </w:sdtPr>
        <w:sdtContent>
          <w:r>
            <w:rPr>
              <w:rFonts w:hint="eastAsia"/>
              <w:color w:val="auto"/>
              <w:szCs w:val="21"/>
              <w:highlight w:val="none"/>
            </w:rPr>
            <w:t xml:space="preserve">   </w:t>
          </w:r>
        </w:sdtContent>
      </w:sdt>
      <w:r/>
      <w:r/>
    </w:p>
    <w:p>
      <w:pPr>
        <w:rPr>
          <w:bCs/>
          <w:color w:val="auto"/>
          <w:highlight w:val="none"/>
        </w:rPr>
      </w:pPr>
      <w:r/>
      <w:bookmarkStart w:id="353" w:name="_Toc103848581"/>
      <w:r/>
      <w:r/>
    </w:p>
    <w:p>
      <w:pPr>
        <w:pStyle w:val="886"/>
        <w:ind w:left="1260" w:firstLine="487"/>
        <w:rPr>
          <w:rFonts w:ascii="Times New Roman"/>
          <w:color w:val="auto"/>
          <w:highlight w:val="none"/>
        </w:rPr>
      </w:pPr>
      <w:r>
        <w:rPr>
          <w:rFonts w:ascii="Times New Roman"/>
          <w:color w:val="auto"/>
          <w:highlight w:val="none"/>
        </w:rPr>
      </w:r>
      <w:r/>
    </w:p>
    <w:tbl>
      <w:tblPr>
        <w:tblStyle w:val="877"/>
        <w:tblW w:w="9241"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2869"/>
        <w:gridCol w:w="6372"/>
      </w:tblGrid>
      <w:tr>
        <w:trPr>
          <w:trHeight w:val="594"/>
        </w:trPr>
        <w:tc>
          <w:tcPr>
            <w:tcW w:w="2869" w:type="dxa"/>
            <w:vAlign w:val="center"/>
            <w:textDirection w:val="lrTb"/>
            <w:noWrap w:val="false"/>
          </w:tcPr>
          <w:p>
            <w:pPr>
              <w:jc w:val="center"/>
              <w:spacing w:line="420" w:lineRule="auto"/>
              <w:rPr>
                <w:b/>
                <w:bCs/>
                <w:color w:val="auto"/>
                <w:spacing w:val="-2"/>
                <w:highlight w:val="none"/>
              </w:rPr>
            </w:pPr>
            <w:r>
              <w:rPr>
                <w:bCs/>
                <w:color w:val="auto"/>
                <w:highlight w:val="none"/>
              </w:rPr>
              <w:t xml:space="preserve">投标总价</w:t>
            </w:r>
            <w:r/>
          </w:p>
        </w:tc>
        <w:tc>
          <w:tcPr>
            <w:tcW w:w="6372" w:type="dxa"/>
            <w:vAlign w:val="center"/>
            <w:textDirection w:val="lrTb"/>
            <w:noWrap w:val="false"/>
          </w:tcPr>
          <w:p>
            <w:pPr>
              <w:jc w:val="center"/>
              <w:spacing w:line="420" w:lineRule="auto"/>
              <w:rPr>
                <w:bCs/>
                <w:color w:val="auto"/>
                <w:highlight w:val="none"/>
              </w:rPr>
            </w:pPr>
            <w:r>
              <w:rPr>
                <w:bCs/>
                <w:color w:val="auto"/>
                <w:highlight w:val="none"/>
              </w:rPr>
              <w:t xml:space="preserve">            （人民币，小写）元</w:t>
            </w:r>
            <w:r/>
          </w:p>
          <w:p>
            <w:pPr>
              <w:pStyle w:val="886"/>
              <w:ind w:left="1260"/>
              <w:jc w:val="center"/>
              <w:rPr>
                <w:rFonts w:ascii="Times New Roman"/>
                <w:b w:val="0"/>
                <w:bCs/>
                <w:color w:val="auto"/>
                <w:position w:val="0"/>
                <w:sz w:val="21"/>
                <w:szCs w:val="24"/>
                <w:highlight w:val="none"/>
              </w:rPr>
            </w:pPr>
            <w:r>
              <w:rPr>
                <w:rFonts w:ascii="Times New Roman"/>
                <w:b w:val="0"/>
                <w:bCs/>
                <w:color w:val="auto"/>
                <w:position w:val="0"/>
                <w:sz w:val="21"/>
                <w:szCs w:val="24"/>
                <w:highlight w:val="none"/>
              </w:rPr>
              <w:t xml:space="preserve">（人民币，大写）元</w:t>
            </w:r>
            <w:r/>
          </w:p>
        </w:tc>
      </w:tr>
      <w:tr>
        <w:trPr>
          <w:trHeight w:val="594"/>
        </w:trPr>
        <w:tc>
          <w:tcPr>
            <w:tcW w:w="2869" w:type="dxa"/>
            <w:vAlign w:val="bottom"/>
            <w:textDirection w:val="lrTb"/>
            <w:noWrap w:val="false"/>
          </w:tcPr>
          <w:p>
            <w:pPr>
              <w:jc w:val="center"/>
              <w:spacing w:line="420" w:lineRule="auto"/>
              <w:widowControl/>
              <w:rPr>
                <w:b/>
                <w:bCs/>
                <w:color w:val="auto"/>
                <w:highlight w:val="none"/>
              </w:rPr>
            </w:pPr>
            <w:r>
              <w:rPr>
                <w:bCs/>
                <w:color w:val="auto"/>
                <w:highlight w:val="none"/>
              </w:rPr>
              <w:t xml:space="preserve">交货时间</w:t>
            </w:r>
            <w:r/>
          </w:p>
        </w:tc>
        <w:tc>
          <w:tcPr>
            <w:tcW w:w="6372" w:type="dxa"/>
            <w:vAlign w:val="bottom"/>
            <w:textDirection w:val="lrTb"/>
            <w:noWrap w:val="false"/>
          </w:tcPr>
          <w:p>
            <w:pPr>
              <w:jc w:val="center"/>
              <w:spacing w:line="420" w:lineRule="auto"/>
              <w:widowControl/>
              <w:rPr>
                <w:b/>
                <w:bCs/>
                <w:color w:val="auto"/>
                <w:highlight w:val="none"/>
              </w:rPr>
            </w:pPr>
            <w:r>
              <w:rPr>
                <w:rFonts w:hint="eastAsia" w:hAnsi="宋体" w:cs="宋体"/>
                <w:color w:val="auto"/>
                <w:highlight w:val="none"/>
              </w:rPr>
              <w:t xml:space="preserve">响应招标文件要求</w:t>
            </w:r>
            <w:r/>
          </w:p>
        </w:tc>
      </w:tr>
      <w:tr>
        <w:trPr>
          <w:trHeight w:val="594"/>
        </w:trPr>
        <w:tc>
          <w:tcPr>
            <w:tcW w:w="2869" w:type="dxa"/>
            <w:vAlign w:val="bottom"/>
            <w:textDirection w:val="lrTb"/>
            <w:noWrap w:val="false"/>
          </w:tcPr>
          <w:p>
            <w:pPr>
              <w:jc w:val="center"/>
              <w:spacing w:line="420" w:lineRule="auto"/>
              <w:widowControl/>
              <w:rPr>
                <w:b/>
                <w:bCs/>
                <w:color w:val="auto"/>
                <w:highlight w:val="none"/>
              </w:rPr>
            </w:pPr>
            <w:r>
              <w:rPr>
                <w:bCs/>
                <w:color w:val="auto"/>
                <w:highlight w:val="none"/>
              </w:rPr>
              <w:t xml:space="preserve">付款方式</w:t>
            </w:r>
            <w:r/>
          </w:p>
        </w:tc>
        <w:tc>
          <w:tcPr>
            <w:tcW w:w="6372" w:type="dxa"/>
            <w:vAlign w:val="bottom"/>
            <w:textDirection w:val="lrTb"/>
            <w:noWrap w:val="false"/>
          </w:tcPr>
          <w:p>
            <w:pPr>
              <w:jc w:val="center"/>
              <w:spacing w:line="420" w:lineRule="auto"/>
              <w:widowControl/>
              <w:rPr>
                <w:b/>
                <w:color w:val="auto"/>
                <w:highlight w:val="none"/>
              </w:rPr>
            </w:pPr>
            <w:r>
              <w:rPr>
                <w:color w:val="auto"/>
                <w:highlight w:val="none"/>
              </w:rPr>
              <w:t xml:space="preserve">响应招标文件要求</w:t>
            </w:r>
            <w:r/>
          </w:p>
        </w:tc>
      </w:tr>
      <w:tr>
        <w:trPr>
          <w:trHeight w:val="594"/>
        </w:trPr>
        <w:tc>
          <w:tcPr>
            <w:tcW w:w="2869" w:type="dxa"/>
            <w:vAlign w:val="bottom"/>
            <w:textDirection w:val="lrTb"/>
            <w:noWrap w:val="false"/>
          </w:tcPr>
          <w:p>
            <w:pPr>
              <w:jc w:val="center"/>
              <w:spacing w:line="420" w:lineRule="auto"/>
              <w:widowControl/>
              <w:rPr>
                <w:b/>
                <w:bCs/>
                <w:color w:val="auto"/>
                <w:highlight w:val="none"/>
              </w:rPr>
            </w:pPr>
            <w:r>
              <w:rPr>
                <w:bCs/>
                <w:color w:val="auto"/>
                <w:highlight w:val="none"/>
              </w:rPr>
              <w:t xml:space="preserve">免费质保期</w:t>
            </w:r>
            <w:r/>
          </w:p>
        </w:tc>
        <w:tc>
          <w:tcPr>
            <w:tcW w:w="6372" w:type="dxa"/>
            <w:vAlign w:val="bottom"/>
            <w:textDirection w:val="lrTb"/>
            <w:noWrap w:val="false"/>
          </w:tcPr>
          <w:p>
            <w:pPr>
              <w:jc w:val="center"/>
              <w:spacing w:line="420" w:lineRule="auto"/>
              <w:widowControl/>
              <w:rPr>
                <w:b/>
                <w:color w:val="auto"/>
                <w:highlight w:val="none"/>
              </w:rPr>
            </w:pPr>
            <w:r>
              <w:rPr>
                <w:color w:val="auto"/>
                <w:highlight w:val="none"/>
              </w:rPr>
              <w:t xml:space="preserve">免费质保期</w:t>
            </w:r>
            <w:r>
              <w:rPr>
                <w:color w:val="auto"/>
                <w:highlight w:val="none"/>
                <w:u w:val="single"/>
              </w:rPr>
              <w:t xml:space="preserve">    </w:t>
            </w:r>
            <w:r>
              <w:rPr>
                <w:color w:val="auto"/>
                <w:highlight w:val="none"/>
              </w:rPr>
              <w:t xml:space="preserve">年</w:t>
            </w:r>
            <w:r/>
          </w:p>
        </w:tc>
      </w:tr>
      <w:tr>
        <w:trPr>
          <w:trHeight w:val="594"/>
        </w:trPr>
        <w:tc>
          <w:tcPr>
            <w:tcW w:w="2869" w:type="dxa"/>
            <w:vAlign w:val="bottom"/>
            <w:textDirection w:val="lrTb"/>
            <w:noWrap w:val="false"/>
          </w:tcPr>
          <w:p>
            <w:pPr>
              <w:jc w:val="center"/>
              <w:spacing w:line="420" w:lineRule="auto"/>
              <w:widowControl/>
              <w:rPr>
                <w:b/>
                <w:bCs/>
                <w:color w:val="auto"/>
                <w:highlight w:val="none"/>
              </w:rPr>
            </w:pPr>
            <w:r>
              <w:rPr>
                <w:bCs/>
                <w:color w:val="auto"/>
                <w:highlight w:val="none"/>
              </w:rPr>
              <w:t xml:space="preserve">产品制造商是否属于小微企业</w:t>
            </w:r>
            <w:r/>
          </w:p>
        </w:tc>
        <w:tc>
          <w:tcPr>
            <w:tcW w:w="6372" w:type="dxa"/>
            <w:vAlign w:val="bottom"/>
            <w:textDirection w:val="lrTb"/>
            <w:noWrap w:val="false"/>
          </w:tcPr>
          <w:p>
            <w:pPr>
              <w:jc w:val="center"/>
              <w:spacing w:line="420" w:lineRule="auto"/>
              <w:widowControl/>
              <w:rPr>
                <w:b/>
                <w:bCs/>
                <w:color w:val="auto"/>
                <w:highlight w:val="none"/>
              </w:rPr>
            </w:pPr>
            <w:r>
              <w:rPr>
                <w:color w:val="auto"/>
                <w:szCs w:val="21"/>
                <w:highlight w:val="none"/>
              </w:rPr>
              <w:t xml:space="preserve">□</w:t>
            </w:r>
            <w:r>
              <w:rPr>
                <w:bCs/>
                <w:color w:val="auto"/>
                <w:highlight w:val="none"/>
              </w:rPr>
              <w:t xml:space="preserve">是       </w:t>
            </w:r>
            <w:r>
              <w:rPr>
                <w:color w:val="auto"/>
                <w:szCs w:val="21"/>
                <w:highlight w:val="none"/>
              </w:rPr>
              <w:t xml:space="preserve">□</w:t>
            </w:r>
            <w:r>
              <w:rPr>
                <w:bCs/>
                <w:color w:val="auto"/>
                <w:highlight w:val="none"/>
              </w:rPr>
              <w:t xml:space="preserve">否</w:t>
            </w:r>
            <w:r/>
          </w:p>
        </w:tc>
      </w:tr>
    </w:tbl>
    <w:p>
      <w:pPr>
        <w:ind w:firstLine="422"/>
        <w:tabs>
          <w:tab w:val="left" w:pos="6045" w:leader="none"/>
        </w:tabs>
        <w:rPr>
          <w:b/>
          <w:bCs/>
          <w:color w:val="auto"/>
          <w:highlight w:val="none"/>
        </w:rPr>
      </w:pPr>
      <w:r>
        <w:rPr>
          <w:b/>
          <w:bCs/>
          <w:color w:val="auto"/>
          <w:highlight w:val="none"/>
        </w:rPr>
      </w:r>
      <w:r/>
    </w:p>
    <w:p>
      <w:pPr>
        <w:ind w:firstLine="422"/>
        <w:tabs>
          <w:tab w:val="left" w:pos="6045" w:leader="none"/>
        </w:tabs>
        <w:rPr>
          <w:b/>
          <w:color w:val="auto"/>
          <w:highlight w:val="none"/>
        </w:rPr>
      </w:pPr>
      <w:r>
        <w:rPr>
          <w:b/>
          <w:color w:val="auto"/>
          <w:highlight w:val="none"/>
        </w:rPr>
        <w:t xml:space="preserve">注：</w:t>
      </w:r>
      <w:r/>
    </w:p>
    <w:p>
      <w:pPr>
        <w:ind w:firstLine="426"/>
        <w:rPr>
          <w:b/>
          <w:bCs/>
          <w:color w:val="auto"/>
          <w:highlight w:val="none"/>
        </w:rPr>
      </w:pPr>
      <w:r>
        <w:rPr>
          <w:rFonts w:hint="eastAsia"/>
          <w:b/>
          <w:bCs/>
          <w:color w:val="auto"/>
          <w:highlight w:val="none"/>
        </w:rPr>
        <w:t xml:space="preserve">1.采购内容详见采购文件第四章“采购需求”。</w:t>
      </w:r>
      <w:r>
        <w:rPr>
          <w:rFonts w:hint="eastAsia"/>
          <w:b/>
          <w:bCs/>
          <w:color w:val="auto"/>
          <w:highlight w:val="none"/>
        </w:rPr>
        <w:tab/>
      </w:r>
      <w:r/>
    </w:p>
    <w:p>
      <w:pPr>
        <w:ind w:firstLine="426"/>
        <w:rPr>
          <w:b/>
          <w:bCs/>
          <w:color w:val="auto"/>
          <w:highlight w:val="none"/>
        </w:rPr>
      </w:pPr>
      <w:r>
        <w:rPr>
          <w:rFonts w:hint="eastAsia"/>
          <w:b/>
          <w:bCs/>
          <w:color w:val="auto"/>
          <w:highlight w:val="none"/>
        </w:rPr>
        <w:t xml:space="preserve">2.投标报价包括全部设备、辅助材料、安装、调试、人工、机械、仓储、保险、运费、各种税费、劳保、专利技术及质保期间等一切费用。</w:t>
      </w:r>
      <w:r/>
    </w:p>
    <w:p>
      <w:pPr>
        <w:ind w:right="420" w:firstLine="4533"/>
        <w:spacing w:line="360" w:lineRule="auto"/>
        <w:rPr>
          <w:b/>
          <w:color w:val="auto"/>
          <w:highlight w:val="none"/>
        </w:rPr>
      </w:pPr>
      <w:r>
        <w:rPr>
          <w:b/>
          <w:color w:val="auto"/>
          <w:highlight w:val="none"/>
        </w:rPr>
      </w:r>
      <w:r/>
    </w:p>
    <w:p>
      <w:pPr>
        <w:ind w:right="420" w:firstLine="4533"/>
        <w:spacing w:line="360" w:lineRule="auto"/>
        <w:rPr>
          <w:b/>
          <w:color w:val="auto"/>
          <w:highlight w:val="none"/>
        </w:rPr>
      </w:pPr>
      <w:r>
        <w:rPr>
          <w:b/>
          <w:color w:val="auto"/>
          <w:highlight w:val="none"/>
        </w:rPr>
      </w:r>
      <w:r/>
    </w:p>
    <w:p>
      <w:pPr>
        <w:ind w:right="420" w:firstLine="4200"/>
        <w:spacing w:line="360" w:lineRule="auto"/>
        <w:rPr>
          <w:color w:val="auto"/>
          <w:highlight w:val="none"/>
          <w:u w:val="single"/>
        </w:rPr>
      </w:pPr>
      <w:r>
        <w:rPr>
          <w:color w:val="auto"/>
          <w:highlight w:val="none"/>
        </w:rPr>
        <w:t xml:space="preserve">投标人名称（公章）：</w:t>
      </w:r>
      <w:r>
        <w:rPr>
          <w:color w:val="auto"/>
          <w:highlight w:val="none"/>
          <w:u w:val="single"/>
        </w:rPr>
        <w:t xml:space="preserve">                 </w:t>
      </w:r>
      <w:r>
        <w:rPr>
          <w:color w:val="auto"/>
          <w:highlight w:val="none"/>
          <w:u w:val="single"/>
        </w:rPr>
        <w:tab/>
      </w:r>
      <w:r/>
    </w:p>
    <w:p>
      <w:pPr>
        <w:ind w:right="420" w:firstLine="4200"/>
        <w:spacing w:line="360" w:lineRule="auto"/>
        <w:rPr>
          <w:color w:val="auto"/>
          <w:szCs w:val="21"/>
          <w:highlight w:val="none"/>
          <w:u w:val="single"/>
        </w:rPr>
      </w:pPr>
      <w:r>
        <w:rPr>
          <w:color w:val="auto"/>
          <w:szCs w:val="21"/>
          <w:highlight w:val="none"/>
        </w:rPr>
        <w:t xml:space="preserve">法定代表人或其授权代表（签字或盖章）：</w:t>
      </w:r>
      <w:r>
        <w:rPr>
          <w:color w:val="auto"/>
          <w:szCs w:val="21"/>
          <w:highlight w:val="none"/>
          <w:u w:val="single"/>
        </w:rPr>
        <w:t xml:space="preserve">  </w:t>
      </w:r>
      <w:r>
        <w:rPr>
          <w:color w:val="auto"/>
          <w:szCs w:val="21"/>
          <w:highlight w:val="none"/>
          <w:u w:val="single"/>
        </w:rPr>
        <w:tab/>
      </w:r>
      <w:r/>
    </w:p>
    <w:p>
      <w:pPr>
        <w:ind w:right="420" w:firstLine="4200"/>
        <w:spacing w:line="360" w:lineRule="auto"/>
        <w:rPr>
          <w:color w:val="auto"/>
          <w:highlight w:val="none"/>
        </w:rPr>
      </w:pP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bookmarkStart w:id="354" w:name="_Toc104560896"/>
      <w:r/>
      <w:r/>
    </w:p>
    <w:p>
      <w:pPr>
        <w:ind w:firstLine="485"/>
        <w:jc w:val="center"/>
        <w:widowControl/>
        <w:rPr>
          <w:b/>
          <w:color w:val="auto"/>
          <w:sz w:val="24"/>
          <w:highlight w:val="none"/>
        </w:rPr>
      </w:pPr>
      <w:r>
        <w:rPr>
          <w:bCs/>
          <w:color w:val="auto"/>
          <w:sz w:val="24"/>
          <w:highlight w:val="none"/>
        </w:rPr>
        <w:br w:type="page" w:clear="all"/>
      </w:r>
      <w:bookmarkStart w:id="355" w:name="_Toc107246280"/>
      <w:r>
        <w:rPr>
          <w:b/>
          <w:bCs/>
          <w:color w:val="auto"/>
          <w:sz w:val="24"/>
          <w:highlight w:val="none"/>
        </w:rPr>
        <w:t xml:space="preserve">（5）分项报价表</w:t>
      </w:r>
      <w:bookmarkEnd w:id="353"/>
      <w:r/>
      <w:bookmarkEnd w:id="354"/>
      <w:r/>
      <w:bookmarkEnd w:id="355"/>
      <w:r/>
      <w:r/>
    </w:p>
    <w:p>
      <w:pPr>
        <w:ind w:left="-120" w:firstLine="210"/>
        <w:spacing w:line="360" w:lineRule="auto"/>
        <w:rPr>
          <w:color w:val="auto"/>
          <w:szCs w:val="21"/>
          <w:highlight w:val="none"/>
        </w:rPr>
      </w:pPr>
      <w:r>
        <w:rPr>
          <w:color w:val="auto"/>
          <w:szCs w:val="21"/>
          <w:highlight w:val="none"/>
        </w:rPr>
        <w:t xml:space="preserve">项目名称：</w:t>
      </w:r>
      <w:r/>
    </w:p>
    <w:p>
      <w:pPr>
        <w:ind w:left="-120" w:firstLine="210"/>
        <w:spacing w:line="360" w:lineRule="auto"/>
        <w:rPr>
          <w:color w:val="auto"/>
          <w:szCs w:val="21"/>
          <w:highlight w:val="none"/>
        </w:rPr>
      </w:pPr>
      <w:r>
        <w:rPr>
          <w:color w:val="auto"/>
          <w:szCs w:val="21"/>
          <w:highlight w:val="none"/>
        </w:rPr>
        <w:t xml:space="preserve">项目编号：</w:t>
      </w:r>
      <w:r/>
    </w:p>
    <w:tbl>
      <w:tblPr>
        <w:tblStyle w:val="877"/>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345"/>
        <w:gridCol w:w="1050"/>
        <w:gridCol w:w="1050"/>
        <w:gridCol w:w="1096"/>
        <w:gridCol w:w="993"/>
        <w:gridCol w:w="1076"/>
        <w:gridCol w:w="1050"/>
      </w:tblGrid>
      <w:tr>
        <w:trPr>
          <w:jc w:val="center"/>
          <w:trHeight w:val="6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b/>
                <w:color w:val="auto"/>
                <w:szCs w:val="21"/>
                <w:highlight w:val="none"/>
              </w:rPr>
            </w:pPr>
            <w:r>
              <w:rPr>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b/>
                <w:color w:val="auto"/>
                <w:szCs w:val="21"/>
                <w:highlight w:val="none"/>
              </w:rPr>
            </w:pPr>
            <w:r>
              <w:rPr>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b/>
                <w:color w:val="auto"/>
                <w:szCs w:val="21"/>
                <w:highlight w:val="none"/>
              </w:rPr>
            </w:pPr>
            <w:r>
              <w:rPr>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b/>
                <w:color w:val="auto"/>
                <w:szCs w:val="21"/>
                <w:highlight w:val="none"/>
              </w:rPr>
            </w:pPr>
            <w:r>
              <w:rPr>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b/>
                <w:color w:val="auto"/>
                <w:szCs w:val="21"/>
                <w:highlight w:val="none"/>
              </w:rPr>
            </w:pPr>
            <w:r>
              <w:rPr>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b/>
                <w:color w:val="auto"/>
                <w:szCs w:val="21"/>
                <w:highlight w:val="none"/>
              </w:rPr>
            </w:pPr>
            <w:r>
              <w:rPr>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b/>
                <w:color w:val="auto"/>
                <w:szCs w:val="21"/>
                <w:highlight w:val="none"/>
              </w:rPr>
            </w:pPr>
            <w:r>
              <w:rPr>
                <w:b/>
                <w:color w:val="auto"/>
                <w:szCs w:val="21"/>
                <w:highlight w:val="none"/>
              </w:rPr>
              <w:t xml:space="preserve">合价</w:t>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b/>
                <w:color w:val="auto"/>
                <w:szCs w:val="21"/>
                <w:highlight w:val="none"/>
              </w:rPr>
            </w:pPr>
            <w:r>
              <w:rPr>
                <w:b/>
                <w:color w:val="auto"/>
                <w:szCs w:val="21"/>
                <w:highlight w:val="none"/>
              </w:rPr>
              <w:t xml:space="preserve">是否小、微企业产品（货物或服务）</w:t>
            </w:r>
            <w:r/>
          </w:p>
        </w:tc>
      </w:tr>
      <w:tr>
        <w:trPr>
          <w:jc w:val="center"/>
          <w:trHeight w:val="5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color w:val="auto"/>
                <w:szCs w:val="21"/>
                <w:highlight w:val="none"/>
              </w:rPr>
            </w:pPr>
            <w:r>
              <w:rPr>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color w:val="auto"/>
                <w:szCs w:val="21"/>
                <w:highlight w:val="none"/>
              </w:rPr>
            </w:pPr>
            <w:r>
              <w:rPr>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color w:val="auto"/>
                <w:szCs w:val="21"/>
                <w:highlight w:val="none"/>
              </w:rPr>
            </w:pPr>
            <w:r>
              <w:rPr>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color w:val="auto"/>
                <w:szCs w:val="21"/>
                <w:highlight w:val="none"/>
              </w:rPr>
            </w:pPr>
            <w:r>
              <w:rPr>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color w:val="auto"/>
                <w:szCs w:val="21"/>
                <w:highlight w:val="none"/>
              </w:rPr>
            </w:pPr>
            <w:r>
              <w:rPr>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color w:val="auto"/>
                <w:szCs w:val="21"/>
                <w:highlight w:val="none"/>
              </w:rPr>
            </w:pPr>
            <w:r>
              <w:rPr>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color w:val="auto"/>
                <w:szCs w:val="21"/>
                <w:highlight w:val="none"/>
              </w:rPr>
            </w:pPr>
            <w:r>
              <w:rPr>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color w:val="auto"/>
                <w:szCs w:val="21"/>
                <w:highlight w:val="none"/>
              </w:rPr>
            </w:pPr>
            <w:r>
              <w:rPr>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color w:val="auto"/>
                <w:szCs w:val="21"/>
                <w:highlight w:val="none"/>
              </w:rPr>
            </w:pPr>
            <w:r>
              <w:rPr>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color w:val="auto"/>
                <w:szCs w:val="21"/>
                <w:highlight w:val="none"/>
              </w:rPr>
            </w:pPr>
            <w:r>
              <w:rPr>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widowControl/>
              <w:rPr>
                <w:color w:val="auto"/>
                <w:szCs w:val="21"/>
                <w:highlight w:val="none"/>
              </w:rPr>
            </w:pPr>
            <w:r>
              <w:rPr>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color w:val="auto"/>
                <w:szCs w:val="21"/>
                <w:highlight w:val="none"/>
              </w:rPr>
            </w:pPr>
            <w:r>
              <w:rPr>
                <w:color w:val="auto"/>
                <w:szCs w:val="21"/>
                <w:highlight w:val="none"/>
              </w:rPr>
              <w:t xml:space="preserve">总价：大写：人民币</w:t>
            </w:r>
            <w:r>
              <w:rPr>
                <w:color w:val="auto"/>
                <w:szCs w:val="21"/>
                <w:highlight w:val="none"/>
                <w:u w:val="single"/>
              </w:rPr>
              <w:t xml:space="preserve">              </w:t>
            </w:r>
            <w:r>
              <w:rPr>
                <w:color w:val="auto"/>
                <w:szCs w:val="21"/>
                <w:highlight w:val="none"/>
              </w:rPr>
              <w:t xml:space="preserve">  小写：人民币</w:t>
            </w:r>
            <w:r>
              <w:rPr>
                <w:color w:val="auto"/>
                <w:szCs w:val="21"/>
                <w:highlight w:val="none"/>
                <w:u w:val="single"/>
              </w:rPr>
              <w:t xml:space="preserve">         </w:t>
            </w:r>
            <w:r>
              <w:rPr>
                <w:color w:val="auto"/>
                <w:szCs w:val="21"/>
                <w:highlight w:val="none"/>
              </w:rPr>
              <w:t xml:space="preserve">元(小数点保留两位)</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widowControl/>
              <w:rPr>
                <w:color w:val="auto"/>
                <w:szCs w:val="21"/>
                <w:highlight w:val="none"/>
              </w:rPr>
            </w:pPr>
            <w:r>
              <w:rPr>
                <w:color w:val="auto"/>
                <w:szCs w:val="21"/>
                <w:highlight w:val="none"/>
              </w:rPr>
            </w:r>
            <w:r/>
          </w:p>
        </w:tc>
      </w:tr>
    </w:tbl>
    <w:p>
      <w:pPr>
        <w:ind w:firstLine="446"/>
        <w:tabs>
          <w:tab w:val="left" w:pos="6045" w:leader="none"/>
        </w:tabs>
        <w:rPr>
          <w:b/>
          <w:bCs/>
          <w:color w:val="auto"/>
          <w:sz w:val="22"/>
          <w:szCs w:val="22"/>
          <w:highlight w:val="none"/>
        </w:rPr>
      </w:pPr>
      <w:r>
        <w:rPr>
          <w:b/>
          <w:bCs/>
          <w:color w:val="auto"/>
          <w:sz w:val="22"/>
          <w:szCs w:val="22"/>
          <w:highlight w:val="none"/>
        </w:rPr>
      </w:r>
      <w:r/>
    </w:p>
    <w:p>
      <w:pPr>
        <w:ind w:firstLine="446"/>
        <w:tabs>
          <w:tab w:val="left" w:pos="6045" w:leader="none"/>
        </w:tabs>
        <w:rPr>
          <w:b/>
          <w:bCs/>
          <w:color w:val="auto"/>
          <w:sz w:val="22"/>
          <w:szCs w:val="22"/>
          <w:highlight w:val="none"/>
        </w:rPr>
      </w:pPr>
      <w:r>
        <w:rPr>
          <w:b/>
          <w:bCs/>
          <w:color w:val="auto"/>
          <w:sz w:val="22"/>
          <w:szCs w:val="22"/>
          <w:highlight w:val="none"/>
        </w:rPr>
      </w:r>
      <w:r/>
    </w:p>
    <w:p>
      <w:pPr>
        <w:ind w:firstLine="446"/>
        <w:tabs>
          <w:tab w:val="left" w:pos="6045" w:leader="none"/>
        </w:tabs>
        <w:rPr>
          <w:b/>
          <w:bCs/>
          <w:color w:val="auto"/>
          <w:sz w:val="22"/>
          <w:szCs w:val="22"/>
          <w:highlight w:val="none"/>
        </w:rPr>
      </w:pPr>
      <w:r>
        <w:rPr>
          <w:b/>
          <w:bCs/>
          <w:color w:val="auto"/>
          <w:sz w:val="22"/>
          <w:szCs w:val="22"/>
          <w:highlight w:val="none"/>
        </w:rPr>
        <w:t xml:space="preserve">注：如果行数不够，请自行增加。</w:t>
      </w:r>
      <w:r/>
    </w:p>
    <w:p>
      <w:pPr>
        <w:pStyle w:val="886"/>
        <w:ind w:left="1260" w:firstLine="487"/>
        <w:rPr>
          <w:rFonts w:ascii="Times New Roman"/>
          <w:color w:val="auto"/>
          <w:highlight w:val="none"/>
        </w:rPr>
      </w:pPr>
      <w:r>
        <w:rPr>
          <w:rFonts w:ascii="Times New Roman"/>
          <w:color w:val="auto"/>
          <w:highlight w:val="none"/>
        </w:rPr>
      </w:r>
      <w:r/>
    </w:p>
    <w:p>
      <w:pPr>
        <w:ind w:firstLine="440"/>
        <w:jc w:val="right"/>
        <w:spacing w:line="360" w:lineRule="auto"/>
        <w:rPr>
          <w:color w:val="auto"/>
          <w:sz w:val="22"/>
          <w:szCs w:val="22"/>
          <w:highlight w:val="none"/>
        </w:rPr>
      </w:pPr>
      <w:r>
        <w:rPr>
          <w:color w:val="auto"/>
          <w:sz w:val="22"/>
          <w:szCs w:val="22"/>
          <w:highlight w:val="none"/>
        </w:rPr>
      </w:r>
      <w:r/>
    </w:p>
    <w:p>
      <w:pPr>
        <w:ind w:firstLine="440"/>
        <w:jc w:val="right"/>
        <w:spacing w:line="360" w:lineRule="auto"/>
        <w:rPr>
          <w:color w:val="auto"/>
          <w:sz w:val="22"/>
          <w:szCs w:val="22"/>
          <w:highlight w:val="none"/>
        </w:rPr>
      </w:pPr>
      <w:r>
        <w:rPr>
          <w:color w:val="auto"/>
          <w:sz w:val="22"/>
          <w:szCs w:val="22"/>
          <w:highlight w:val="none"/>
        </w:rPr>
      </w:r>
      <w:r/>
    </w:p>
    <w:p>
      <w:pPr>
        <w:ind w:firstLine="440"/>
        <w:jc w:val="right"/>
        <w:spacing w:line="360" w:lineRule="auto"/>
        <w:rPr>
          <w:color w:val="auto"/>
          <w:sz w:val="22"/>
          <w:szCs w:val="22"/>
          <w:highlight w:val="none"/>
        </w:rPr>
      </w:pPr>
      <w:r>
        <w:rPr>
          <w:color w:val="auto"/>
          <w:sz w:val="22"/>
          <w:szCs w:val="22"/>
          <w:highlight w:val="none"/>
        </w:rPr>
      </w:r>
      <w:r/>
    </w:p>
    <w:p>
      <w:pPr>
        <w:ind w:right="420" w:firstLine="3780"/>
        <w:spacing w:line="360" w:lineRule="auto"/>
        <w:rPr>
          <w:color w:val="auto"/>
          <w:highlight w:val="none"/>
          <w:u w:val="single"/>
        </w:rPr>
      </w:pPr>
      <w:r>
        <w:rPr>
          <w:color w:val="auto"/>
          <w:highlight w:val="none"/>
        </w:rPr>
        <w:t xml:space="preserve">投标人名称（公章）：</w:t>
      </w:r>
      <w:r>
        <w:rPr>
          <w:color w:val="auto"/>
          <w:highlight w:val="none"/>
          <w:u w:val="single"/>
        </w:rPr>
        <w:t xml:space="preserve">                 </w:t>
      </w:r>
      <w:r/>
    </w:p>
    <w:p>
      <w:pPr>
        <w:ind w:firstLine="3780"/>
        <w:jc w:val="left"/>
        <w:spacing w:line="360" w:lineRule="auto"/>
        <w:rPr>
          <w:color w:val="auto"/>
          <w:szCs w:val="21"/>
          <w:highlight w:val="none"/>
        </w:rPr>
      </w:pPr>
      <w:r>
        <w:rPr>
          <w:color w:val="auto"/>
          <w:szCs w:val="21"/>
          <w:highlight w:val="none"/>
        </w:rPr>
        <w:t xml:space="preserve">法定代表人</w:t>
      </w:r>
      <w:r/>
    </w:p>
    <w:p>
      <w:pPr>
        <w:ind w:firstLine="3780"/>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422"/>
        <w:jc w:val="left"/>
        <w:spacing w:line="360" w:lineRule="auto"/>
        <w:rPr>
          <w:color w:val="auto"/>
          <w:highlight w:val="none"/>
        </w:rPr>
      </w:pPr>
      <w:r>
        <w:rPr>
          <w:b/>
          <w:bCs/>
          <w:color w:val="auto"/>
          <w:highlight w:val="none"/>
        </w:rPr>
        <w:tab/>
      </w:r>
      <w:r>
        <w:rPr>
          <w:b/>
          <w:bCs/>
          <w:color w:val="auto"/>
          <w:highlight w:val="none"/>
        </w:rPr>
        <w:t xml:space="preserve">                            </w:t>
      </w:r>
      <w:r>
        <w:rPr>
          <w:color w:val="auto"/>
          <w:highlight w:val="none"/>
        </w:rPr>
        <w:t xml:space="preserve">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pStyle w:val="886"/>
        <w:ind w:left="0" w:firstLine="485"/>
        <w:rPr>
          <w:rFonts w:ascii="Times New Roman"/>
          <w:color w:val="auto"/>
          <w:highlight w:val="none"/>
        </w:rPr>
      </w:pPr>
      <w:r>
        <w:rPr>
          <w:rFonts w:ascii="Times New Roman"/>
          <w:b w:val="0"/>
          <w:bCs/>
          <w:color w:val="auto"/>
          <w:highlight w:val="none"/>
        </w:rPr>
        <w:br w:type="page" w:clear="all"/>
      </w:r>
      <w:bookmarkStart w:id="356" w:name="_Toc104560901"/>
      <w:r/>
      <w:bookmarkStart w:id="357" w:name="_Toc103848586"/>
      <w:r/>
      <w:bookmarkStart w:id="358" w:name="_Toc107246281"/>
      <w:r/>
      <w:bookmarkStart w:id="359" w:name="_Toc102117319"/>
      <w:r/>
      <w:r/>
    </w:p>
    <w:p>
      <w:pPr>
        <w:pStyle w:val="906"/>
        <w:ind w:firstLine="487"/>
        <w:spacing w:before="156" w:after="156"/>
        <w:rPr>
          <w:rFonts w:ascii="Times New Roman" w:hAnsi="Times New Roman"/>
          <w:color w:val="auto"/>
          <w:sz w:val="24"/>
          <w:szCs w:val="24"/>
          <w:highlight w:val="none"/>
        </w:rPr>
      </w:pPr>
      <w:r/>
      <w:bookmarkStart w:id="360" w:name="_Toc157071041"/>
      <w:r>
        <w:rPr>
          <w:rFonts w:ascii="Times New Roman" w:hAnsi="Times New Roman"/>
          <w:bCs w:val="0"/>
          <w:color w:val="auto"/>
          <w:sz w:val="24"/>
          <w:szCs w:val="24"/>
          <w:highlight w:val="none"/>
        </w:rPr>
        <w:t xml:space="preserve">（6）商务条款偏离表</w:t>
      </w:r>
      <w:bookmarkEnd w:id="356"/>
      <w:r/>
      <w:bookmarkEnd w:id="357"/>
      <w:r/>
      <w:bookmarkEnd w:id="358"/>
      <w:r/>
      <w:bookmarkEnd w:id="360"/>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项目名称：</w:t>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项目编号：</w:t>
      </w:r>
      <w:r/>
    </w:p>
    <w:tbl>
      <w:tblPr>
        <w:tblStyle w:val="87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序号</w:t>
            </w:r>
            <w:r/>
          </w:p>
        </w:tc>
        <w:tc>
          <w:tcPr>
            <w:tcW w:w="184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招标文件条目号</w:t>
            </w:r>
            <w:r/>
          </w:p>
        </w:tc>
        <w:tc>
          <w:tcPr>
            <w:tcW w:w="2268"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招标文件的商务条款</w:t>
            </w:r>
            <w:r/>
          </w:p>
        </w:tc>
        <w:tc>
          <w:tcPr>
            <w:tcW w:w="1134" w:type="dxa"/>
            <w:textDirection w:val="lrTb"/>
            <w:noWrap w:val="false"/>
          </w:tcPr>
          <w:p>
            <w:pPr>
              <w:pStyle w:val="1108"/>
              <w:ind w:firstLine="0"/>
              <w:jc w:val="center"/>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是否偏离</w:t>
            </w:r>
            <w:r/>
          </w:p>
        </w:tc>
        <w:tc>
          <w:tcPr>
            <w:tcW w:w="1781"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偏离说明</w:t>
            </w:r>
            <w:r/>
          </w:p>
        </w:tc>
        <w:tc>
          <w:tcPr>
            <w:tcW w:w="797"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备注</w:t>
            </w:r>
            <w:r/>
          </w:p>
        </w:tc>
      </w:tr>
      <w:tr>
        <w:trPr>
          <w:jc w:val="center"/>
          <w:trHeight w:val="570"/>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4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68"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134"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781"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97"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81"/>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4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68"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134"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781"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97"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90"/>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4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68"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134"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781"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97"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714"/>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4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68"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134"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781"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97"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82"/>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4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68"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134"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781"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97"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707"/>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4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68"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134"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781"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97"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bl>
    <w:p>
      <w:pPr>
        <w:pStyle w:val="904"/>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04"/>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1. 投标人须根据招标文件商务条款要求填写此表，作为投标文件的组成部分。</w:t>
      </w:r>
      <w:r/>
    </w:p>
    <w:p>
      <w:pPr>
        <w:pStyle w:val="904"/>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2. 所有偏离必须在本表中列出，未在本偏离表中列出偏离，将视为投标人已完全接受招标文件要求</w:t>
      </w:r>
      <w:r>
        <w:rPr>
          <w:rFonts w:hint="eastAsia" w:ascii="Times New Roman" w:hAnsi="Times New Roman"/>
          <w:b/>
          <w:bCs/>
          <w:color w:val="auto"/>
          <w:highlight w:val="none"/>
        </w:rPr>
        <w:t xml:space="preserve">。</w:t>
      </w:r>
      <w:r/>
    </w:p>
    <w:p>
      <w:pPr>
        <w:pStyle w:val="904"/>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3. 偏离包括正、负偏离，正偏离指投标人的响应优于招标文件要求，负偏离指投标人的响应低于招标文件要求。</w:t>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firstLine="0"/>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40"/>
        <w:jc w:val="right"/>
        <w:spacing w:line="360" w:lineRule="auto"/>
        <w:rPr>
          <w:color w:val="auto"/>
          <w:sz w:val="22"/>
          <w:szCs w:val="22"/>
          <w:highlight w:val="none"/>
        </w:rPr>
      </w:pPr>
      <w:r/>
      <w:bookmarkStart w:id="361" w:name="_Toc104560902"/>
      <w:r/>
      <w:bookmarkStart w:id="362" w:name="_Toc103848587"/>
      <w:r/>
      <w:r/>
    </w:p>
    <w:p>
      <w:pPr>
        <w:ind w:right="420" w:firstLine="3780"/>
        <w:spacing w:line="360" w:lineRule="auto"/>
        <w:rPr>
          <w:color w:val="auto"/>
          <w:highlight w:val="none"/>
          <w:u w:val="single"/>
        </w:rPr>
      </w:pPr>
      <w:r>
        <w:rPr>
          <w:color w:val="auto"/>
          <w:highlight w:val="none"/>
        </w:rPr>
        <w:t xml:space="preserve">投标人名称（公章）：</w:t>
      </w:r>
      <w:r>
        <w:rPr>
          <w:color w:val="auto"/>
          <w:highlight w:val="none"/>
          <w:u w:val="single"/>
        </w:rPr>
        <w:t xml:space="preserve">                 </w:t>
      </w:r>
      <w:r/>
    </w:p>
    <w:p>
      <w:pPr>
        <w:ind w:firstLine="3780"/>
        <w:jc w:val="left"/>
        <w:spacing w:line="360" w:lineRule="auto"/>
        <w:rPr>
          <w:color w:val="auto"/>
          <w:szCs w:val="21"/>
          <w:highlight w:val="none"/>
        </w:rPr>
      </w:pPr>
      <w:r>
        <w:rPr>
          <w:color w:val="auto"/>
          <w:szCs w:val="21"/>
          <w:highlight w:val="none"/>
        </w:rPr>
        <w:t xml:space="preserve">法定代表人</w:t>
      </w:r>
      <w:r/>
    </w:p>
    <w:p>
      <w:pPr>
        <w:ind w:firstLine="3780"/>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422"/>
        <w:jc w:val="left"/>
        <w:spacing w:line="360" w:lineRule="auto"/>
        <w:rPr>
          <w:color w:val="auto"/>
          <w:highlight w:val="none"/>
        </w:rPr>
      </w:pPr>
      <w:r>
        <w:rPr>
          <w:b/>
          <w:bCs/>
          <w:color w:val="auto"/>
          <w:highlight w:val="none"/>
        </w:rPr>
        <w:tab/>
      </w:r>
      <w:r>
        <w:rPr>
          <w:b/>
          <w:bCs/>
          <w:color w:val="auto"/>
          <w:highlight w:val="none"/>
        </w:rPr>
        <w:t xml:space="preserve">                            </w:t>
      </w:r>
      <w:r>
        <w:rPr>
          <w:color w:val="auto"/>
          <w:highlight w:val="none"/>
        </w:rPr>
        <w:t xml:space="preserve">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ind w:firstLine="422"/>
        <w:jc w:val="left"/>
        <w:spacing w:line="360" w:lineRule="auto"/>
        <w:rPr>
          <w:color w:val="auto"/>
          <w:highlight w:val="none"/>
        </w:rPr>
      </w:pPr>
      <w:r>
        <w:rPr>
          <w:color w:val="auto"/>
          <w:highlight w:val="none"/>
        </w:rPr>
      </w:r>
      <w:r/>
    </w:p>
    <w:p>
      <w:pPr>
        <w:ind w:firstLine="422"/>
        <w:jc w:val="left"/>
        <w:spacing w:line="360" w:lineRule="auto"/>
        <w:rPr>
          <w:color w:val="auto"/>
          <w:highlight w:val="none"/>
        </w:rPr>
      </w:pPr>
      <w:r>
        <w:rPr>
          <w:color w:val="auto"/>
          <w:highlight w:val="none"/>
        </w:rPr>
      </w:r>
      <w:r/>
    </w:p>
    <w:p>
      <w:pPr>
        <w:rPr>
          <w:color w:val="auto"/>
          <w:highlight w:val="none"/>
        </w:rPr>
      </w:pPr>
      <w:r/>
      <w:bookmarkStart w:id="363" w:name="_Toc104560918"/>
      <w:r/>
      <w:bookmarkStart w:id="364" w:name="_Toc107246301"/>
      <w:r/>
      <w:bookmarkStart w:id="365" w:name="_Toc157071054"/>
      <w:r/>
      <w:bookmarkStart w:id="366" w:name="_Toc103848601"/>
      <w:r/>
      <w:bookmarkStart w:id="367" w:name="_Toc107246282"/>
      <w:r/>
      <w:bookmarkStart w:id="368" w:name="_Toc157071042"/>
      <w:r/>
      <w:r/>
    </w:p>
    <w:p>
      <w:pPr>
        <w:rPr>
          <w:color w:val="auto"/>
          <w:highlight w:val="none"/>
        </w:rPr>
      </w:pPr>
      <w:r>
        <w:rPr>
          <w:color w:val="auto"/>
          <w:highlight w:val="none"/>
        </w:rPr>
      </w:r>
      <w:r/>
    </w:p>
    <w:p>
      <w:pPr>
        <w:pStyle w:val="906"/>
        <w:ind w:firstLine="487"/>
        <w:spacing w:before="156" w:after="156"/>
        <w:rPr>
          <w:rFonts w:ascii="Times New Roman" w:hAnsi="Times New Roman"/>
          <w:bCs w:val="0"/>
          <w:color w:val="auto"/>
          <w:sz w:val="24"/>
          <w:szCs w:val="24"/>
          <w:highlight w:val="none"/>
        </w:rPr>
      </w:pPr>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7</w:t>
      </w:r>
      <w:r>
        <w:rPr>
          <w:rFonts w:ascii="Times New Roman" w:hAnsi="Times New Roman"/>
          <w:bCs w:val="0"/>
          <w:color w:val="auto"/>
          <w:sz w:val="24"/>
          <w:szCs w:val="24"/>
          <w:highlight w:val="none"/>
        </w:rPr>
        <w:t xml:space="preserve">）技术条款偏离表</w:t>
      </w:r>
      <w:bookmarkEnd w:id="363"/>
      <w:r/>
      <w:bookmarkEnd w:id="364"/>
      <w:r/>
      <w:bookmarkEnd w:id="365"/>
      <w:r/>
      <w:bookmarkEnd w:id="366"/>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项目名称：</w:t>
      </w:r>
      <w:r>
        <w:rPr>
          <w:rFonts w:ascii="Times New Roman" w:hAnsi="Times New Roman"/>
          <w:color w:val="auto"/>
          <w:sz w:val="21"/>
          <w:szCs w:val="21"/>
          <w:highlight w:val="none"/>
        </w:rPr>
        <w:tab/>
      </w:r>
      <w:r>
        <w:rPr>
          <w:rFonts w:ascii="Times New Roman" w:hAnsi="Times New Roman"/>
          <w:color w:val="auto"/>
          <w:sz w:val="21"/>
          <w:szCs w:val="21"/>
          <w:highlight w:val="none"/>
        </w:rPr>
        <w:tab/>
      </w:r>
      <w:r>
        <w:rPr>
          <w:rFonts w:ascii="Times New Roman" w:hAnsi="Times New Roman"/>
          <w:color w:val="auto"/>
          <w:sz w:val="21"/>
          <w:szCs w:val="21"/>
          <w:highlight w:val="none"/>
        </w:rPr>
        <w:tab/>
      </w:r>
      <w:r>
        <w:rPr>
          <w:rFonts w:ascii="Times New Roman" w:hAnsi="Times New Roman"/>
          <w:color w:val="auto"/>
          <w:sz w:val="21"/>
          <w:szCs w:val="21"/>
          <w:highlight w:val="none"/>
        </w:rPr>
        <w:tab/>
      </w:r>
      <w:r>
        <w:rPr>
          <w:rFonts w:ascii="Times New Roman" w:hAnsi="Times New Roman"/>
          <w:color w:val="auto"/>
          <w:sz w:val="21"/>
          <w:szCs w:val="21"/>
          <w:highlight w:val="none"/>
        </w:rPr>
        <w:tab/>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项目编号：</w:t>
      </w:r>
      <w:r/>
    </w:p>
    <w:tbl>
      <w:tblPr>
        <w:tblStyle w:val="87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897"/>
        <w:gridCol w:w="1560"/>
        <w:gridCol w:w="814"/>
        <w:gridCol w:w="709"/>
      </w:tblGrid>
      <w:tr>
        <w:trPr>
          <w:jc w:val="center"/>
          <w:trHeight w:val="706"/>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序号</w:t>
            </w:r>
            <w:r/>
          </w:p>
        </w:tc>
        <w:tc>
          <w:tcPr>
            <w:tcW w:w="184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招标文件条目号</w:t>
            </w:r>
            <w:r/>
          </w:p>
        </w:tc>
        <w:tc>
          <w:tcPr>
            <w:tcW w:w="2897"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招标文件的技术条款</w:t>
            </w:r>
            <w:r/>
          </w:p>
        </w:tc>
        <w:tc>
          <w:tcPr>
            <w:tcW w:w="1560"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是否偏离</w:t>
            </w:r>
            <w:r/>
          </w:p>
        </w:tc>
        <w:tc>
          <w:tcPr>
            <w:tcW w:w="81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偏离说明</w:t>
            </w:r>
            <w:r/>
          </w:p>
        </w:tc>
        <w:tc>
          <w:tcPr>
            <w:tcW w:w="709"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备注</w:t>
            </w:r>
            <w:r/>
          </w:p>
        </w:tc>
      </w:tr>
      <w:tr>
        <w:trPr>
          <w:jc w:val="center"/>
          <w:trHeight w:val="570"/>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1</w:t>
            </w:r>
            <w:r/>
          </w:p>
        </w:tc>
        <w:tc>
          <w:tcPr>
            <w:tcW w:w="1844" w:type="dxa"/>
            <w:vAlign w:val="center"/>
            <w:textDirection w:val="lrTb"/>
            <w:noWrap w:val="false"/>
          </w:tcPr>
          <w:p>
            <w:pPr>
              <w:jc w:val="center"/>
              <w:widowControl/>
              <w:rPr>
                <w:color w:val="auto"/>
                <w:szCs w:val="21"/>
                <w:highlight w:val="none"/>
              </w:rPr>
            </w:pPr>
            <w:r>
              <w:rPr>
                <w:rFonts w:hint="eastAsia" w:ascii="宋体" w:hAnsi="宋体" w:cs="宋体"/>
                <w:bCs/>
                <w:color w:val="auto"/>
                <w:szCs w:val="21"/>
                <w:highlight w:val="none"/>
              </w:rPr>
              <w:t xml:space="preserve">数字商科实验中心智慧管理系统</w:t>
            </w:r>
            <w:r/>
          </w:p>
        </w:tc>
        <w:tc>
          <w:tcPr>
            <w:tcW w:w="2897" w:type="dxa"/>
            <w:vAlign w:val="center"/>
            <w:textDirection w:val="lrTb"/>
            <w:noWrap w:val="false"/>
          </w:tcPr>
          <w:p>
            <w:pPr>
              <w:pStyle w:val="905"/>
              <w:jc w:val="both"/>
              <w:spacing w:before="0" w:beforeAutospacing="0" w:after="0" w:afterAutospacing="0" w:line="360" w:lineRule="auto"/>
              <w:widowControl w:val="off"/>
              <w:rPr>
                <w:color w:val="auto"/>
                <w:sz w:val="21"/>
                <w:szCs w:val="21"/>
                <w:highlight w:val="none"/>
              </w:rPr>
            </w:pPr>
            <w:r>
              <w:rPr>
                <w:color w:val="auto"/>
                <w:sz w:val="21"/>
                <w:szCs w:val="21"/>
                <w:highlight w:val="none"/>
              </w:rPr>
            </w:r>
            <w:r/>
          </w:p>
        </w:tc>
        <w:tc>
          <w:tcPr>
            <w:tcW w:w="1560"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81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09"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81"/>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w:t>
            </w:r>
            <w:r/>
          </w:p>
        </w:tc>
        <w:tc>
          <w:tcPr>
            <w:tcW w:w="1844" w:type="dxa"/>
            <w:vAlign w:val="center"/>
            <w:textDirection w:val="lrTb"/>
            <w:noWrap w:val="false"/>
          </w:tcPr>
          <w:p>
            <w:pPr>
              <w:jc w:val="center"/>
              <w:widowControl/>
              <w:rPr>
                <w:color w:val="auto"/>
                <w:szCs w:val="21"/>
                <w:highlight w:val="none"/>
              </w:rPr>
            </w:pPr>
            <w:r>
              <w:rPr>
                <w:rFonts w:hint="eastAsia" w:ascii="宋体" w:hAnsi="宋体" w:cs="宋体"/>
                <w:bCs/>
                <w:color w:val="auto"/>
                <w:szCs w:val="21"/>
                <w:highlight w:val="none"/>
              </w:rPr>
              <w:t xml:space="preserve">AI财务大数据分析实验系统</w:t>
            </w:r>
            <w:r/>
          </w:p>
        </w:tc>
        <w:tc>
          <w:tcPr>
            <w:tcW w:w="2897" w:type="dxa"/>
            <w:vAlign w:val="center"/>
            <w:textDirection w:val="lrTb"/>
            <w:noWrap w:val="false"/>
          </w:tcPr>
          <w:p>
            <w:pPr>
              <w:pStyle w:val="905"/>
              <w:jc w:val="both"/>
              <w:spacing w:before="0" w:beforeAutospacing="0" w:after="0" w:afterAutospacing="0" w:line="360" w:lineRule="auto"/>
              <w:widowControl w:val="off"/>
              <w:rPr>
                <w:color w:val="auto"/>
                <w:sz w:val="21"/>
                <w:szCs w:val="21"/>
                <w:highlight w:val="none"/>
              </w:rPr>
            </w:pPr>
            <w:r>
              <w:rPr>
                <w:color w:val="auto"/>
                <w:sz w:val="21"/>
                <w:szCs w:val="21"/>
                <w:highlight w:val="none"/>
              </w:rPr>
            </w:r>
            <w:r/>
          </w:p>
        </w:tc>
        <w:tc>
          <w:tcPr>
            <w:tcW w:w="1560"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81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09"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90"/>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w:t>
            </w:r>
            <w:r/>
          </w:p>
        </w:tc>
        <w:tc>
          <w:tcPr>
            <w:tcW w:w="1844" w:type="dxa"/>
            <w:vAlign w:val="center"/>
            <w:textDirection w:val="lrTb"/>
            <w:noWrap w:val="false"/>
          </w:tcPr>
          <w:p>
            <w:pPr>
              <w:jc w:val="center"/>
              <w:widowControl/>
              <w:rPr>
                <w:color w:val="auto"/>
                <w:szCs w:val="21"/>
                <w:highlight w:val="none"/>
              </w:rPr>
            </w:pPr>
            <w:r>
              <w:rPr>
                <w:rFonts w:hint="eastAsia" w:ascii="宋体" w:hAnsi="宋体" w:cs="宋体"/>
                <w:bCs/>
                <w:color w:val="auto"/>
                <w:szCs w:val="21"/>
                <w:highlight w:val="none"/>
              </w:rPr>
              <w:t xml:space="preserve">数字财务综合实验系统</w:t>
            </w:r>
            <w:r/>
          </w:p>
        </w:tc>
        <w:tc>
          <w:tcPr>
            <w:tcW w:w="2897" w:type="dxa"/>
            <w:vAlign w:val="center"/>
            <w:textDirection w:val="lrTb"/>
            <w:noWrap w:val="false"/>
          </w:tcPr>
          <w:p>
            <w:pPr>
              <w:pStyle w:val="905"/>
              <w:jc w:val="both"/>
              <w:spacing w:before="0" w:beforeAutospacing="0" w:after="0" w:afterAutospacing="0" w:line="360" w:lineRule="auto"/>
              <w:widowControl w:val="off"/>
              <w:rPr>
                <w:color w:val="auto"/>
                <w:sz w:val="21"/>
                <w:szCs w:val="21"/>
                <w:highlight w:val="none"/>
              </w:rPr>
            </w:pPr>
            <w:r>
              <w:rPr>
                <w:color w:val="auto"/>
                <w:sz w:val="21"/>
                <w:szCs w:val="21"/>
                <w:highlight w:val="none"/>
              </w:rPr>
            </w:r>
            <w:r/>
          </w:p>
        </w:tc>
        <w:tc>
          <w:tcPr>
            <w:tcW w:w="1560"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81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09"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714"/>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4</w:t>
            </w:r>
            <w:r/>
          </w:p>
        </w:tc>
        <w:tc>
          <w:tcPr>
            <w:tcW w:w="1844" w:type="dxa"/>
            <w:vAlign w:val="center"/>
            <w:textDirection w:val="lrTb"/>
            <w:noWrap w:val="false"/>
          </w:tcPr>
          <w:p>
            <w:pPr>
              <w:jc w:val="center"/>
              <w:widowControl/>
              <w:rPr>
                <w:color w:val="auto"/>
                <w:szCs w:val="21"/>
                <w:highlight w:val="none"/>
              </w:rPr>
            </w:pPr>
            <w:r>
              <w:rPr>
                <w:rFonts w:hint="eastAsia" w:ascii="宋体" w:hAnsi="宋体" w:cs="宋体"/>
                <w:bCs/>
                <w:color w:val="auto"/>
                <w:szCs w:val="21"/>
                <w:highlight w:val="none"/>
              </w:rPr>
              <w:t xml:space="preserve">金融大数据分析挖掘系统</w:t>
            </w:r>
            <w:r/>
          </w:p>
        </w:tc>
        <w:tc>
          <w:tcPr>
            <w:tcW w:w="2897" w:type="dxa"/>
            <w:vAlign w:val="center"/>
            <w:textDirection w:val="lrTb"/>
            <w:noWrap w:val="false"/>
          </w:tcPr>
          <w:p>
            <w:pPr>
              <w:pStyle w:val="905"/>
              <w:jc w:val="both"/>
              <w:spacing w:before="0" w:beforeAutospacing="0" w:after="0" w:afterAutospacing="0" w:line="360" w:lineRule="auto"/>
              <w:widowControl w:val="off"/>
              <w:rPr>
                <w:color w:val="auto"/>
                <w:sz w:val="21"/>
                <w:szCs w:val="21"/>
                <w:highlight w:val="none"/>
              </w:rPr>
            </w:pPr>
            <w:r>
              <w:rPr>
                <w:color w:val="auto"/>
                <w:sz w:val="21"/>
                <w:szCs w:val="21"/>
                <w:highlight w:val="none"/>
              </w:rPr>
            </w:r>
            <w:r/>
          </w:p>
        </w:tc>
        <w:tc>
          <w:tcPr>
            <w:tcW w:w="1560"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81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09"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82"/>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5</w:t>
            </w:r>
            <w:r/>
          </w:p>
        </w:tc>
        <w:tc>
          <w:tcPr>
            <w:tcW w:w="1844" w:type="dxa"/>
            <w:vAlign w:val="center"/>
            <w:textDirection w:val="lrTb"/>
            <w:noWrap w:val="false"/>
          </w:tcPr>
          <w:p>
            <w:pPr>
              <w:jc w:val="center"/>
              <w:widowControl/>
              <w:rPr>
                <w:color w:val="auto"/>
                <w:szCs w:val="21"/>
                <w:highlight w:val="none"/>
              </w:rPr>
            </w:pPr>
            <w:r>
              <w:rPr>
                <w:rFonts w:hint="eastAsia" w:ascii="宋体" w:hAnsi="宋体" w:cs="宋体"/>
                <w:bCs/>
                <w:color w:val="auto"/>
                <w:szCs w:val="21"/>
                <w:highlight w:val="none"/>
              </w:rPr>
              <w:t xml:space="preserve">数智供应链实验实训系统</w:t>
            </w:r>
            <w:r/>
          </w:p>
        </w:tc>
        <w:tc>
          <w:tcPr>
            <w:tcW w:w="2897" w:type="dxa"/>
            <w:vAlign w:val="center"/>
            <w:textDirection w:val="lrTb"/>
            <w:noWrap w:val="false"/>
          </w:tcPr>
          <w:p>
            <w:pPr>
              <w:pStyle w:val="905"/>
              <w:jc w:val="both"/>
              <w:spacing w:before="0" w:beforeAutospacing="0" w:after="0" w:afterAutospacing="0" w:line="360" w:lineRule="auto"/>
              <w:widowControl w:val="off"/>
              <w:rPr>
                <w:color w:val="auto"/>
                <w:sz w:val="21"/>
                <w:szCs w:val="21"/>
                <w:highlight w:val="none"/>
              </w:rPr>
            </w:pPr>
            <w:r>
              <w:rPr>
                <w:color w:val="auto"/>
                <w:sz w:val="21"/>
                <w:szCs w:val="21"/>
                <w:highlight w:val="none"/>
              </w:rPr>
            </w:r>
            <w:r/>
          </w:p>
        </w:tc>
        <w:tc>
          <w:tcPr>
            <w:tcW w:w="1560"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81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09"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707"/>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w:t>
            </w:r>
            <w:r/>
          </w:p>
        </w:tc>
        <w:tc>
          <w:tcPr>
            <w:tcW w:w="1844" w:type="dxa"/>
            <w:vAlign w:val="center"/>
            <w:textDirection w:val="lrTb"/>
            <w:noWrap w:val="false"/>
          </w:tcPr>
          <w:p>
            <w:pPr>
              <w:jc w:val="center"/>
              <w:widowControl/>
              <w:rPr>
                <w:color w:val="auto"/>
                <w:szCs w:val="21"/>
                <w:highlight w:val="none"/>
              </w:rPr>
            </w:pPr>
            <w:r>
              <w:rPr>
                <w:rFonts w:hint="eastAsia" w:ascii="宋体" w:hAnsi="宋体" w:cs="宋体"/>
                <w:bCs/>
                <w:color w:val="auto"/>
                <w:szCs w:val="21"/>
                <w:highlight w:val="none"/>
              </w:rPr>
              <w:t xml:space="preserve">数字RPA智能财务机器人系统</w:t>
            </w:r>
            <w:r/>
          </w:p>
        </w:tc>
        <w:tc>
          <w:tcPr>
            <w:tcW w:w="2897" w:type="dxa"/>
            <w:vAlign w:val="center"/>
            <w:textDirection w:val="lrTb"/>
            <w:noWrap w:val="false"/>
          </w:tcPr>
          <w:p>
            <w:pPr>
              <w:pStyle w:val="905"/>
              <w:jc w:val="both"/>
              <w:spacing w:before="0" w:beforeAutospacing="0" w:after="0" w:afterAutospacing="0" w:line="360" w:lineRule="auto"/>
              <w:widowControl w:val="off"/>
              <w:rPr>
                <w:color w:val="auto"/>
                <w:sz w:val="21"/>
                <w:szCs w:val="21"/>
                <w:highlight w:val="none"/>
              </w:rPr>
            </w:pPr>
            <w:r>
              <w:rPr>
                <w:color w:val="auto"/>
                <w:sz w:val="21"/>
                <w:szCs w:val="21"/>
                <w:highlight w:val="none"/>
              </w:rPr>
            </w:r>
            <w:r/>
          </w:p>
        </w:tc>
        <w:tc>
          <w:tcPr>
            <w:tcW w:w="1560"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81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09"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707"/>
        </w:trPr>
        <w:tc>
          <w:tcPr>
            <w:tcW w:w="653" w:type="dxa"/>
            <w:vAlign w:val="center"/>
            <w:textDirection w:val="lrTb"/>
            <w:noWrap w:val="false"/>
          </w:tcPr>
          <w:p>
            <w:pPr>
              <w:pStyle w:val="1108"/>
              <w:ind w:firstLine="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w:t>
            </w:r>
            <w:r/>
          </w:p>
        </w:tc>
        <w:tc>
          <w:tcPr>
            <w:tcW w:w="1844"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W w:w="2897" w:type="dxa"/>
            <w:vAlign w:val="center"/>
            <w:textDirection w:val="lrTb"/>
            <w:noWrap w:val="false"/>
          </w:tcPr>
          <w:p>
            <w:pPr>
              <w:pStyle w:val="905"/>
              <w:jc w:val="both"/>
              <w:spacing w:before="0" w:beforeAutospacing="0" w:after="0" w:afterAutospacing="0" w:line="360" w:lineRule="auto"/>
              <w:widowControl w:val="off"/>
              <w:rPr>
                <w:color w:val="auto"/>
                <w:sz w:val="21"/>
                <w:szCs w:val="21"/>
                <w:highlight w:val="none"/>
              </w:rPr>
            </w:pPr>
            <w:r>
              <w:rPr>
                <w:color w:val="auto"/>
                <w:sz w:val="21"/>
                <w:szCs w:val="21"/>
                <w:highlight w:val="none"/>
              </w:rPr>
            </w:r>
            <w:r/>
          </w:p>
        </w:tc>
        <w:tc>
          <w:tcPr>
            <w:tcW w:w="1560" w:type="dxa"/>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81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709"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bl>
    <w:p>
      <w:pPr>
        <w:pStyle w:val="904"/>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04"/>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1. 投标人须根据招标文件</w:t>
      </w:r>
      <w:r>
        <w:rPr>
          <w:rFonts w:hint="eastAsia" w:ascii="Times New Roman" w:hAnsi="Times New Roman"/>
          <w:b/>
          <w:bCs/>
          <w:color w:val="auto"/>
          <w:highlight w:val="none"/>
          <w:lang w:val="en-US" w:eastAsia="zh-CN"/>
        </w:rPr>
        <w:t xml:space="preserve">技术</w:t>
      </w:r>
      <w:r>
        <w:rPr>
          <w:rFonts w:ascii="Times New Roman" w:hAnsi="Times New Roman"/>
          <w:b/>
          <w:bCs/>
          <w:color w:val="auto"/>
          <w:highlight w:val="none"/>
        </w:rPr>
        <w:t xml:space="preserve">条款要求填写此表，作为投标文件的组成部分。</w:t>
      </w:r>
      <w:r/>
    </w:p>
    <w:p>
      <w:pPr>
        <w:pStyle w:val="904"/>
        <w:numPr>
          <w:ilvl w:val="0"/>
          <w:numId w:val="4"/>
        </w:numPr>
        <w:ind w:firstLine="426"/>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所有偏离必须在本表中列出。</w:t>
      </w:r>
      <w:r/>
    </w:p>
    <w:p>
      <w:pPr>
        <w:pStyle w:val="904"/>
        <w:ind w:firstLine="422"/>
        <w:spacing w:after="156" w:line="360" w:lineRule="exact"/>
        <w:rPr>
          <w:rFonts w:ascii="Times New Roman" w:hAnsi="Times New Roman"/>
          <w:b/>
          <w:bCs/>
          <w:color w:val="auto"/>
          <w:highlight w:val="none"/>
        </w:rPr>
      </w:pPr>
      <w:r>
        <w:rPr>
          <w:rFonts w:ascii="Times New Roman" w:hAnsi="Times New Roman"/>
          <w:b/>
          <w:bCs/>
          <w:color w:val="auto"/>
          <w:highlight w:val="none"/>
        </w:rPr>
        <w:t xml:space="preserve">3. 偏离包括正、负偏离，正偏离指投标人的响应优于招标文件要求，负偏离指投标人的响应低于招标文件要求。</w:t>
      </w:r>
      <w:r/>
    </w:p>
    <w:p>
      <w:pPr>
        <w:ind w:right="420" w:firstLine="3780"/>
        <w:spacing w:line="360" w:lineRule="auto"/>
        <w:rPr>
          <w:color w:val="auto"/>
          <w:highlight w:val="none"/>
        </w:rPr>
      </w:pPr>
      <w:r>
        <w:rPr>
          <w:color w:val="auto"/>
          <w:highlight w:val="none"/>
        </w:rPr>
      </w:r>
      <w:r/>
    </w:p>
    <w:p>
      <w:pPr>
        <w:ind w:right="420" w:firstLine="3780"/>
        <w:spacing w:line="360" w:lineRule="auto"/>
        <w:rPr>
          <w:color w:val="auto"/>
          <w:highlight w:val="none"/>
          <w:u w:val="single"/>
        </w:rPr>
      </w:pPr>
      <w:r>
        <w:rPr>
          <w:color w:val="auto"/>
          <w:highlight w:val="none"/>
        </w:rPr>
        <w:t xml:space="preserve">投标人名称（公章）：</w:t>
      </w:r>
      <w:r>
        <w:rPr>
          <w:color w:val="auto"/>
          <w:highlight w:val="none"/>
          <w:u w:val="single"/>
        </w:rPr>
        <w:t xml:space="preserve">                 </w:t>
      </w:r>
      <w:r/>
    </w:p>
    <w:p>
      <w:pPr>
        <w:ind w:firstLine="3780"/>
        <w:jc w:val="left"/>
        <w:spacing w:line="360" w:lineRule="auto"/>
        <w:rPr>
          <w:color w:val="auto"/>
          <w:szCs w:val="21"/>
          <w:highlight w:val="none"/>
        </w:rPr>
      </w:pPr>
      <w:r>
        <w:rPr>
          <w:color w:val="auto"/>
          <w:szCs w:val="21"/>
          <w:highlight w:val="none"/>
        </w:rPr>
        <w:t xml:space="preserve">法定代表人</w:t>
      </w:r>
      <w:r/>
    </w:p>
    <w:p>
      <w:pPr>
        <w:ind w:firstLine="3780"/>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422"/>
        <w:jc w:val="left"/>
        <w:spacing w:line="360" w:lineRule="auto"/>
        <w:rPr>
          <w:b/>
          <w:bCs/>
          <w:color w:val="auto"/>
          <w:highlight w:val="none"/>
        </w:rPr>
      </w:pPr>
      <w:r>
        <w:rPr>
          <w:b/>
          <w:bCs/>
          <w:color w:val="auto"/>
          <w:highlight w:val="none"/>
        </w:rPr>
        <w:tab/>
      </w:r>
      <w:r>
        <w:rPr>
          <w:b/>
          <w:bCs/>
          <w:color w:val="auto"/>
          <w:highlight w:val="none"/>
        </w:rPr>
        <w:t xml:space="preserve">                            </w:t>
      </w:r>
      <w:r>
        <w:rPr>
          <w:color w:val="auto"/>
          <w:highlight w:val="none"/>
        </w:rPr>
        <w:t xml:space="preserve">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p>
    <w:p>
      <w:pPr>
        <w:pStyle w:val="1108"/>
        <w:ind w:firstLine="4320"/>
        <w:rPr>
          <w:rFonts w:ascii="Times New Roman" w:hAnsi="Times New Roman"/>
          <w:bCs/>
          <w:color w:val="auto"/>
          <w:sz w:val="24"/>
          <w:highlight w:val="none"/>
        </w:rPr>
      </w:pPr>
      <w:r>
        <w:rPr>
          <w:rFonts w:ascii="Times New Roman" w:hAnsi="Times New Roman"/>
          <w:bCs/>
          <w:color w:val="auto"/>
          <w:sz w:val="24"/>
          <w:highlight w:val="none"/>
        </w:rPr>
      </w:r>
      <w:r/>
    </w:p>
    <w:p>
      <w:pPr>
        <w:pStyle w:val="1108"/>
        <w:ind w:firstLine="4320"/>
        <w:rPr>
          <w:rFonts w:ascii="Times New Roman" w:hAnsi="Times New Roman"/>
          <w:b/>
          <w:color w:val="auto"/>
          <w:sz w:val="24"/>
          <w:highlight w:val="none"/>
        </w:rPr>
      </w:pPr>
      <w:r>
        <w:rPr>
          <w:rFonts w:ascii="Times New Roman" w:hAnsi="Times New Roman"/>
          <w:bCs/>
          <w:color w:val="auto"/>
          <w:sz w:val="24"/>
          <w:highlight w:val="none"/>
        </w:rPr>
        <w:br w:type="page" w:clear="all"/>
      </w:r>
      <w:r/>
    </w:p>
    <w:p>
      <w:pPr>
        <w:pStyle w:val="906"/>
        <w:ind w:firstLine="487"/>
        <w:spacing w:before="156" w:after="156" w:line="240" w:lineRule="atLeast"/>
        <w:rPr>
          <w:rFonts w:ascii="Times New Roman" w:hAnsi="Times New Roman"/>
          <w:color w:val="auto"/>
          <w:highlight w:val="none"/>
        </w:rPr>
      </w:pPr>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）投标人具备投标资格的证明文件</w:t>
      </w:r>
      <w:bookmarkEnd w:id="361"/>
      <w:r/>
      <w:bookmarkEnd w:id="362"/>
      <w:r/>
      <w:bookmarkEnd w:id="367"/>
      <w:r/>
      <w:bookmarkEnd w:id="368"/>
      <w:r/>
      <w:r/>
    </w:p>
    <w:p>
      <w:pPr>
        <w:pStyle w:val="906"/>
        <w:ind w:firstLine="487"/>
        <w:spacing w:before="156" w:after="156" w:line="240" w:lineRule="atLeast"/>
        <w:rPr>
          <w:rFonts w:ascii="Times New Roman" w:hAnsi="Times New Roman"/>
          <w:bCs w:val="0"/>
          <w:color w:val="auto"/>
          <w:sz w:val="24"/>
          <w:szCs w:val="24"/>
          <w:highlight w:val="none"/>
        </w:rPr>
      </w:pPr>
      <w:r/>
      <w:bookmarkStart w:id="369" w:name="_Toc157071043"/>
      <w:r/>
      <w:bookmarkStart w:id="370" w:name="_Toc103848588"/>
      <w:r/>
      <w:bookmarkStart w:id="371" w:name="_Toc107246283"/>
      <w:r/>
      <w:bookmarkStart w:id="372" w:name="_Toc104560903"/>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-1-1）营业执照复印件</w:t>
      </w:r>
      <w:bookmarkEnd w:id="359"/>
      <w:r>
        <w:rPr>
          <w:rFonts w:ascii="Times New Roman" w:hAnsi="Times New Roman"/>
          <w:bCs w:val="0"/>
          <w:color w:val="auto"/>
          <w:sz w:val="24"/>
          <w:szCs w:val="24"/>
          <w:highlight w:val="none"/>
        </w:rPr>
        <w:t xml:space="preserve">或自然人的身份证明复印件</w:t>
      </w:r>
      <w:bookmarkEnd w:id="369"/>
      <w:r/>
      <w:bookmarkEnd w:id="370"/>
      <w:r/>
      <w:bookmarkEnd w:id="371"/>
      <w:r/>
      <w:bookmarkEnd w:id="372"/>
      <w:r/>
      <w:r/>
    </w:p>
    <w:p>
      <w:pPr>
        <w:ind w:firstLine="426"/>
        <w:spacing w:line="360" w:lineRule="auto"/>
        <w:rPr>
          <w:b/>
          <w:bCs/>
          <w:color w:val="auto"/>
          <w:highlight w:val="none"/>
        </w:rPr>
      </w:pPr>
      <w:r/>
      <w:bookmarkStart w:id="373" w:name="_Hlk33717720"/>
      <w:r/>
      <w:r/>
    </w:p>
    <w:p>
      <w:pPr>
        <w:ind w:firstLine="426"/>
        <w:spacing w:line="360" w:lineRule="auto"/>
        <w:rPr>
          <w:b/>
          <w:bCs/>
          <w:color w:val="auto"/>
          <w:highlight w:val="none"/>
        </w:rPr>
      </w:pPr>
      <w:r>
        <w:rPr>
          <w:b/>
          <w:bCs/>
          <w:color w:val="auto"/>
          <w:highlight w:val="none"/>
        </w:rPr>
        <w:t xml:space="preserve">注：投标人提供营业执照副本（或具有同等法律效力的证照）复印件。复印件应能清晰显示投标人名称。</w:t>
      </w:r>
      <w:bookmarkEnd w:id="373"/>
      <w:r/>
      <w:r/>
    </w:p>
    <w:p>
      <w:pPr>
        <w:rPr>
          <w:color w:val="auto"/>
          <w:highlight w:val="none"/>
        </w:rPr>
      </w:pPr>
      <w:r>
        <w:rPr>
          <w:color w:val="auto"/>
          <w:highlight w:val="none"/>
        </w:rPr>
      </w:r>
      <w:r/>
    </w:p>
    <w:p>
      <w:pPr>
        <w:pStyle w:val="906"/>
        <w:ind w:firstLine="487"/>
        <w:spacing w:before="156" w:after="156" w:line="240" w:lineRule="atLeast"/>
        <w:rPr>
          <w:rFonts w:ascii="Times New Roman" w:hAnsi="Times New Roman"/>
          <w:b w:val="0"/>
          <w:color w:val="auto"/>
          <w:highlight w:val="none"/>
        </w:rPr>
      </w:pPr>
      <w:r/>
      <w:bookmarkStart w:id="374" w:name="_Toc103848589"/>
      <w:r/>
      <w:bookmarkStart w:id="375" w:name="_Toc102117320"/>
      <w:r>
        <w:rPr>
          <w:rFonts w:ascii="Times New Roman" w:hAnsi="Times New Roman"/>
          <w:bCs w:val="0"/>
          <w:color w:val="auto"/>
          <w:sz w:val="24"/>
          <w:szCs w:val="24"/>
          <w:highlight w:val="none"/>
        </w:rPr>
        <w:br w:type="page" w:clear="all"/>
      </w:r>
      <w:bookmarkStart w:id="376" w:name="_Toc157071044"/>
      <w:r/>
      <w:bookmarkStart w:id="377" w:name="_Toc104560904"/>
      <w:r/>
      <w:bookmarkStart w:id="378" w:name="_Toc107246284"/>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-1-2）工商变更登记文件（如需）</w:t>
      </w:r>
      <w:bookmarkEnd w:id="374"/>
      <w:r/>
      <w:bookmarkEnd w:id="375"/>
      <w:r/>
      <w:bookmarkEnd w:id="376"/>
      <w:r/>
      <w:bookmarkEnd w:id="377"/>
      <w:r/>
      <w:bookmarkEnd w:id="378"/>
      <w:r/>
      <w:r/>
    </w:p>
    <w:p>
      <w:pPr>
        <w:ind w:firstLine="426"/>
        <w:spacing w:line="360" w:lineRule="auto"/>
        <w:rPr>
          <w:b/>
          <w:bCs/>
          <w:color w:val="auto"/>
          <w:highlight w:val="none"/>
        </w:rPr>
      </w:pPr>
      <w:r>
        <w:rPr>
          <w:b/>
          <w:bCs/>
          <w:color w:val="auto"/>
          <w:highlight w:val="none"/>
        </w:rPr>
      </w:r>
      <w:r/>
    </w:p>
    <w:p>
      <w:pPr>
        <w:ind w:firstLine="426"/>
        <w:spacing w:line="360" w:lineRule="auto"/>
        <w:rPr>
          <w:b/>
          <w:bCs/>
          <w:color w:val="auto"/>
          <w:highlight w:val="none"/>
        </w:rPr>
      </w:pPr>
      <w:r>
        <w:rPr>
          <w:b/>
          <w:bCs/>
          <w:color w:val="auto"/>
          <w:highlight w:val="none"/>
        </w:rPr>
        <w:t xml:space="preserve">注：如</w:t>
      </w:r>
      <w:r>
        <w:rPr>
          <w:b/>
          <w:bCs/>
          <w:color w:val="auto"/>
          <w:sz w:val="22"/>
          <w:szCs w:val="22"/>
          <w:highlight w:val="none"/>
        </w:rPr>
        <w:t xml:space="preserve">投标人</w:t>
      </w:r>
      <w:r>
        <w:rPr>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b/>
          <w:color w:val="auto"/>
          <w:highlight w:val="none"/>
        </w:rPr>
      </w:pPr>
      <w:r>
        <w:rPr>
          <w:color w:val="auto"/>
          <w:highlight w:val="none"/>
        </w:rPr>
        <w:br w:type="page" w:clear="all"/>
      </w:r>
      <w:bookmarkStart w:id="379" w:name="_Toc102117321"/>
      <w:r/>
      <w:bookmarkStart w:id="380" w:name="_Toc107246285"/>
      <w:r/>
      <w:bookmarkStart w:id="381" w:name="_Toc104560905"/>
      <w:r/>
      <w:bookmarkStart w:id="382" w:name="_Toc103848590"/>
      <w:r/>
      <w:r/>
    </w:p>
    <w:p>
      <w:pPr>
        <w:pStyle w:val="906"/>
        <w:ind w:firstLine="487"/>
        <w:spacing w:before="156" w:after="156" w:line="240" w:lineRule="atLeast"/>
        <w:rPr>
          <w:rFonts w:ascii="Times New Roman" w:hAnsi="Times New Roman"/>
          <w:bCs w:val="0"/>
          <w:color w:val="auto"/>
          <w:sz w:val="24"/>
          <w:szCs w:val="24"/>
          <w:highlight w:val="none"/>
        </w:rPr>
      </w:pPr>
      <w:r/>
      <w:bookmarkStart w:id="383" w:name="_Toc157071045"/>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-2）</w:t>
      </w:r>
      <w:bookmarkEnd w:id="379"/>
      <w:r/>
      <w:bookmarkEnd w:id="380"/>
      <w:r/>
      <w:bookmarkEnd w:id="381"/>
      <w:r/>
      <w:bookmarkEnd w:id="382"/>
      <w:r>
        <w:rPr>
          <w:rFonts w:hint="eastAsia" w:ascii="Times New Roman" w:hAnsi="Times New Roman"/>
          <w:bCs w:val="0"/>
          <w:color w:val="auto"/>
          <w:sz w:val="24"/>
          <w:szCs w:val="24"/>
          <w:highlight w:val="none"/>
        </w:rPr>
        <w:t xml:space="preserve">具有良好的商业信誉和健全的财务会计制度</w:t>
      </w:r>
      <w:r>
        <w:rPr>
          <w:rFonts w:ascii="Times New Roman" w:hAnsi="Times New Roman"/>
          <w:bCs w:val="0"/>
          <w:color w:val="auto"/>
          <w:sz w:val="24"/>
          <w:szCs w:val="24"/>
          <w:highlight w:val="none"/>
        </w:rPr>
        <w:t xml:space="preserve">证明文件</w:t>
      </w:r>
      <w:bookmarkEnd w:id="383"/>
      <w:r/>
      <w:r/>
    </w:p>
    <w:p>
      <w:pPr>
        <w:jc w:val="center"/>
        <w:spacing w:line="360" w:lineRule="auto"/>
        <w:rPr>
          <w:b/>
          <w:bCs/>
          <w:color w:val="auto"/>
          <w:highlight w:val="none"/>
        </w:rPr>
      </w:pPr>
      <w:r>
        <w:rPr>
          <w:rFonts w:hint="eastAsia" w:ascii="宋体" w:hAnsi="宋体" w:cs="宋体"/>
          <w:b/>
          <w:bCs/>
          <w:color w:val="auto"/>
          <w:highlight w:val="none"/>
        </w:rPr>
        <w:t xml:space="preserve">注：根据招标公告的要求提供</w:t>
      </w:r>
      <w:r/>
    </w:p>
    <w:p>
      <w:pPr>
        <w:pStyle w:val="906"/>
        <w:ind w:firstLine="487"/>
        <w:jc w:val="left"/>
        <w:spacing w:before="156" w:after="156" w:line="240" w:lineRule="atLeast"/>
        <w:rPr>
          <w:rFonts w:ascii="Times New Roman" w:hAnsi="Times New Roman"/>
          <w:bCs w:val="0"/>
          <w:color w:val="auto"/>
          <w:sz w:val="24"/>
          <w:szCs w:val="24"/>
          <w:highlight w:val="none"/>
        </w:rPr>
      </w:pPr>
      <w:r/>
      <w:bookmarkStart w:id="384" w:name="_Toc104560908"/>
      <w:r/>
      <w:bookmarkStart w:id="385" w:name="_Toc102117322"/>
      <w:r/>
      <w:bookmarkStart w:id="386" w:name="_Toc103848593"/>
      <w:r>
        <w:rPr>
          <w:rFonts w:ascii="Times New Roman" w:hAnsi="Times New Roman"/>
          <w:bCs w:val="0"/>
          <w:color w:val="auto"/>
          <w:sz w:val="24"/>
          <w:szCs w:val="24"/>
          <w:highlight w:val="none"/>
        </w:rPr>
        <w:br w:type="page" w:clear="all"/>
      </w:r>
      <w:bookmarkStart w:id="387" w:name="_Toc107246286"/>
      <w:r/>
      <w:bookmarkStart w:id="388" w:name="_Toc157071046"/>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-3）具有履行合同所必需的设备和专业技术能力的相关证明材料或承诺函（提供承诺函原件）</w:t>
      </w:r>
      <w:bookmarkEnd w:id="384"/>
      <w:r/>
      <w:bookmarkEnd w:id="385"/>
      <w:r/>
      <w:bookmarkEnd w:id="386"/>
      <w:r/>
      <w:bookmarkEnd w:id="387"/>
      <w:r/>
      <w:bookmarkEnd w:id="388"/>
      <w:r/>
      <w:r/>
    </w:p>
    <w:p>
      <w:pPr>
        <w:rPr>
          <w:color w:val="auto"/>
          <w:highlight w:val="none"/>
        </w:rPr>
      </w:pPr>
      <w:r>
        <w:rPr>
          <w:color w:val="auto"/>
          <w:highlight w:val="none"/>
        </w:rPr>
      </w:r>
      <w:r/>
    </w:p>
    <w:p>
      <w:pPr>
        <w:rPr>
          <w:color w:val="auto"/>
          <w:highlight w:val="none"/>
        </w:rPr>
      </w:pPr>
      <w:r>
        <w:rPr>
          <w:color w:val="auto"/>
          <w:highlight w:val="none"/>
        </w:rPr>
      </w:r>
      <w:r/>
    </w:p>
    <w:p>
      <w:pPr>
        <w:ind w:firstLine="892"/>
        <w:jc w:val="center"/>
        <w:spacing w:before="156" w:after="156" w:line="360" w:lineRule="auto"/>
        <w:rPr>
          <w:b/>
          <w:color w:val="auto"/>
          <w:sz w:val="44"/>
          <w:szCs w:val="44"/>
          <w:highlight w:val="none"/>
        </w:rPr>
      </w:pPr>
      <w:r>
        <w:rPr>
          <w:b/>
          <w:color w:val="auto"/>
          <w:sz w:val="44"/>
          <w:szCs w:val="44"/>
          <w:highlight w:val="none"/>
        </w:rPr>
      </w:r>
      <w:r/>
    </w:p>
    <w:p>
      <w:pPr>
        <w:ind w:firstLine="892"/>
        <w:jc w:val="center"/>
        <w:spacing w:before="156" w:after="156" w:line="360" w:lineRule="auto"/>
        <w:rPr>
          <w:b/>
          <w:color w:val="auto"/>
          <w:sz w:val="44"/>
          <w:szCs w:val="44"/>
          <w:highlight w:val="none"/>
        </w:rPr>
      </w:pPr>
      <w:r>
        <w:rPr>
          <w:b/>
          <w:color w:val="auto"/>
          <w:sz w:val="44"/>
          <w:szCs w:val="44"/>
          <w:highlight w:val="none"/>
        </w:rPr>
      </w:r>
      <w:r/>
    </w:p>
    <w:p>
      <w:pPr>
        <w:ind w:firstLine="889"/>
        <w:jc w:val="center"/>
        <w:spacing w:before="156" w:after="156" w:line="360" w:lineRule="auto"/>
        <w:rPr>
          <w:color w:val="auto"/>
          <w:highlight w:val="none"/>
        </w:rPr>
      </w:pPr>
      <w:r>
        <w:rPr>
          <w:color w:val="auto"/>
          <w:sz w:val="44"/>
          <w:szCs w:val="44"/>
          <w:highlight w:val="none"/>
        </w:rPr>
        <w:t xml:space="preserve">承 诺 函</w:t>
      </w:r>
      <w:r/>
    </w:p>
    <w:p>
      <w:pPr>
        <w:ind w:firstLine="444"/>
        <w:jc w:val="left"/>
        <w:spacing w:before="156" w:after="156" w:line="360" w:lineRule="auto"/>
        <w:rPr>
          <w:color w:val="auto"/>
          <w:sz w:val="22"/>
          <w:highlight w:val="none"/>
        </w:rPr>
      </w:pPr>
      <w:r>
        <w:rPr>
          <w:color w:val="auto"/>
          <w:sz w:val="22"/>
          <w:highlight w:val="none"/>
        </w:rPr>
        <w:t xml:space="preserve">我单位郑重承诺：我单位具备履行本项采购合同所必需的设备和专业技术能力。</w:t>
      </w:r>
      <w:r/>
    </w:p>
    <w:p>
      <w:pPr>
        <w:ind w:firstLine="424"/>
        <w:jc w:val="left"/>
        <w:spacing w:before="156" w:after="156" w:line="360" w:lineRule="auto"/>
        <w:rPr>
          <w:color w:val="auto"/>
          <w:highlight w:val="none"/>
        </w:rPr>
      </w:pPr>
      <w:r>
        <w:rPr>
          <w:color w:val="auto"/>
          <w:highlight w:val="none"/>
        </w:rPr>
      </w:r>
      <w:r/>
    </w:p>
    <w:p>
      <w:pPr>
        <w:ind w:firstLine="424"/>
        <w:jc w:val="left"/>
        <w:spacing w:before="156" w:after="156" w:line="360" w:lineRule="auto"/>
        <w:rPr>
          <w:color w:val="auto"/>
          <w:highlight w:val="none"/>
        </w:rPr>
      </w:pPr>
      <w:r>
        <w:rPr>
          <w:color w:val="auto"/>
          <w:highlight w:val="none"/>
        </w:rPr>
      </w:r>
      <w:r/>
    </w:p>
    <w:p>
      <w:pPr>
        <w:pStyle w:val="886"/>
        <w:ind w:left="1260" w:firstLine="487"/>
        <w:rPr>
          <w:rFonts w:ascii="Times New Roman"/>
          <w:color w:val="auto"/>
          <w:highlight w:val="none"/>
        </w:rPr>
      </w:pPr>
      <w:r>
        <w:rPr>
          <w:rFonts w:ascii="Times New Roman"/>
          <w:color w:val="auto"/>
          <w:highlight w:val="none"/>
        </w:rPr>
      </w:r>
      <w:r/>
    </w:p>
    <w:p>
      <w:pPr>
        <w:rPr>
          <w:color w:val="auto"/>
          <w:highlight w:val="none"/>
        </w:rPr>
      </w:pPr>
      <w:r>
        <w:rPr>
          <w:color w:val="auto"/>
          <w:highlight w:val="none"/>
        </w:rPr>
      </w:r>
      <w:r/>
    </w:p>
    <w:p>
      <w:pPr>
        <w:pStyle w:val="886"/>
        <w:ind w:left="1260" w:firstLine="487"/>
        <w:rPr>
          <w:rFonts w:ascii="Times New Roman"/>
          <w:color w:val="auto"/>
          <w:highlight w:val="none"/>
        </w:rPr>
      </w:pPr>
      <w:r>
        <w:rPr>
          <w:rFonts w:ascii="Times New Roman"/>
          <w:color w:val="auto"/>
          <w:highlight w:val="none"/>
        </w:rPr>
      </w:r>
      <w:r/>
    </w:p>
    <w:p>
      <w:pPr>
        <w:rPr>
          <w:color w:val="auto"/>
          <w:highlight w:val="none"/>
        </w:rPr>
      </w:pPr>
      <w:r>
        <w:rPr>
          <w:color w:val="auto"/>
          <w:highlight w:val="none"/>
        </w:rPr>
      </w:r>
      <w:r/>
    </w:p>
    <w:p>
      <w:pPr>
        <w:spacing w:line="276" w:lineRule="auto"/>
        <w:rPr>
          <w:bCs/>
          <w:color w:val="auto"/>
          <w:highlight w:val="none"/>
        </w:rPr>
      </w:pPr>
      <w:r>
        <w:rPr>
          <w:bCs/>
          <w:color w:val="auto"/>
          <w:highlight w:val="none"/>
        </w:rPr>
        <w:t xml:space="preserve">  </w:t>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ab/>
      </w:r>
      <w:r>
        <w:rPr>
          <w:bCs/>
          <w:color w:val="auto"/>
          <w:highlight w:val="none"/>
        </w:rPr>
        <w:t xml:space="preserve">投标人名称（公章）：______________________</w:t>
      </w:r>
      <w:r/>
    </w:p>
    <w:p>
      <w:pPr>
        <w:spacing w:line="276" w:lineRule="auto"/>
        <w:rPr>
          <w:bCs/>
          <w:color w:val="auto"/>
          <w:highlight w:val="none"/>
        </w:rPr>
      </w:pPr>
      <w:r>
        <w:rPr>
          <w:bCs/>
          <w:color w:val="auto"/>
          <w:highlight w:val="none"/>
        </w:rPr>
      </w:r>
      <w:r/>
    </w:p>
    <w:p>
      <w:pPr>
        <w:spacing w:line="276" w:lineRule="auto"/>
        <w:rPr>
          <w:color w:val="auto"/>
          <w:szCs w:val="21"/>
          <w:highlight w:val="none"/>
        </w:rPr>
      </w:pPr>
      <w:r>
        <w:rPr>
          <w:bCs/>
          <w:color w:val="auto"/>
          <w:highlight w:val="none"/>
        </w:rPr>
        <w:t xml:space="preserve">                                    </w:t>
      </w:r>
      <w:r>
        <w:rPr>
          <w:color w:val="auto"/>
          <w:szCs w:val="21"/>
          <w:highlight w:val="none"/>
        </w:rPr>
        <w:t xml:space="preserve">法定代表人</w:t>
      </w:r>
      <w:r/>
    </w:p>
    <w:p>
      <w:pPr>
        <w:ind w:firstLine="3780"/>
        <w:spacing w:line="276"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780"/>
        <w:spacing w:line="276" w:lineRule="auto"/>
        <w:rPr>
          <w:color w:val="auto"/>
          <w:szCs w:val="21"/>
          <w:highlight w:val="none"/>
          <w:u w:val="single"/>
        </w:rPr>
      </w:pPr>
      <w:r>
        <w:rPr>
          <w:color w:val="auto"/>
          <w:szCs w:val="21"/>
          <w:highlight w:val="none"/>
          <w:u w:val="single"/>
        </w:rPr>
      </w:r>
      <w:r/>
    </w:p>
    <w:p>
      <w:pPr>
        <w:spacing w:line="276" w:lineRule="auto"/>
        <w:rPr>
          <w:color w:val="auto"/>
          <w:highlight w:val="none"/>
        </w:rPr>
      </w:pPr>
      <w:r>
        <w:rPr>
          <w:bCs/>
          <w:color w:val="auto"/>
          <w:highlight w:val="none"/>
        </w:rPr>
        <w:t xml:space="preserve">                                    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ind w:firstLine="487"/>
        <w:spacing w:line="360" w:lineRule="auto"/>
        <w:rPr>
          <w:b/>
          <w:color w:val="auto"/>
          <w:sz w:val="24"/>
          <w:highlight w:val="none"/>
        </w:rPr>
      </w:pPr>
      <w:r>
        <w:rPr>
          <w:b/>
          <w:color w:val="auto"/>
          <w:sz w:val="24"/>
          <w:highlight w:val="none"/>
        </w:rPr>
      </w:r>
      <w:r/>
    </w:p>
    <w:p>
      <w:pPr>
        <w:ind w:firstLine="426"/>
        <w:spacing w:line="360" w:lineRule="auto"/>
        <w:rPr>
          <w:b/>
          <w:bCs/>
          <w:color w:val="auto"/>
          <w:highlight w:val="none"/>
        </w:rPr>
      </w:pPr>
      <w:r>
        <w:rPr>
          <w:b/>
          <w:bCs/>
          <w:color w:val="auto"/>
          <w:highlight w:val="none"/>
        </w:rPr>
      </w:r>
      <w:r/>
    </w:p>
    <w:p>
      <w:pPr>
        <w:pStyle w:val="906"/>
        <w:ind w:firstLine="487"/>
        <w:spacing w:before="156" w:after="156" w:line="240" w:lineRule="atLeast"/>
        <w:rPr>
          <w:rFonts w:ascii="Times New Roman" w:hAnsi="Times New Roman"/>
          <w:b w:val="0"/>
          <w:color w:val="auto"/>
          <w:highlight w:val="none"/>
        </w:rPr>
      </w:pPr>
      <w:r/>
      <w:bookmarkStart w:id="389" w:name="_Toc102117323"/>
      <w:r/>
      <w:bookmarkStart w:id="390" w:name="_Toc103848591"/>
      <w:r>
        <w:rPr>
          <w:rFonts w:ascii="Times New Roman" w:hAnsi="Times New Roman"/>
          <w:bCs w:val="0"/>
          <w:color w:val="auto"/>
          <w:sz w:val="24"/>
          <w:szCs w:val="24"/>
          <w:highlight w:val="none"/>
        </w:rPr>
        <w:br w:type="page" w:clear="all"/>
      </w:r>
      <w:bookmarkStart w:id="391" w:name="_Toc104560906"/>
      <w:r/>
      <w:bookmarkStart w:id="392" w:name="_Toc157071047"/>
      <w:r/>
      <w:bookmarkStart w:id="393" w:name="_Toc107246287"/>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-4）依法缴纳税收的相关材料</w:t>
      </w:r>
      <w:bookmarkEnd w:id="389"/>
      <w:r/>
      <w:bookmarkEnd w:id="390"/>
      <w:r/>
      <w:bookmarkEnd w:id="391"/>
      <w:r/>
      <w:bookmarkEnd w:id="392"/>
      <w:r/>
      <w:bookmarkEnd w:id="393"/>
      <w:r/>
      <w:r/>
    </w:p>
    <w:p>
      <w:pPr>
        <w:ind w:firstLine="426"/>
        <w:jc w:val="center"/>
        <w:spacing w:line="360" w:lineRule="auto"/>
        <w:rPr>
          <w:b/>
          <w:bCs/>
          <w:color w:val="auto"/>
          <w:highlight w:val="none"/>
        </w:rPr>
      </w:pPr>
      <w:r>
        <w:rPr>
          <w:rFonts w:hint="eastAsia"/>
          <w:b/>
          <w:bCs/>
          <w:color w:val="auto"/>
          <w:highlight w:val="none"/>
        </w:rPr>
        <w:t xml:space="preserve">注：根据招标公告的要求提供</w:t>
      </w:r>
      <w:r/>
    </w:p>
    <w:p>
      <w:pPr>
        <w:pStyle w:val="906"/>
        <w:ind w:firstLine="485"/>
        <w:spacing w:before="156" w:after="156" w:line="240" w:lineRule="atLeast"/>
        <w:rPr>
          <w:rFonts w:ascii="Times New Roman" w:hAnsi="Times New Roman"/>
          <w:bCs w:val="0"/>
          <w:color w:val="auto"/>
          <w:sz w:val="24"/>
          <w:szCs w:val="24"/>
          <w:highlight w:val="none"/>
        </w:rPr>
      </w:pPr>
      <w:r>
        <w:rPr>
          <w:rFonts w:ascii="Times New Roman" w:hAnsi="Times New Roman"/>
          <w:b w:val="0"/>
          <w:color w:val="auto"/>
          <w:sz w:val="24"/>
          <w:highlight w:val="none"/>
        </w:rPr>
        <w:br w:type="page" w:clear="all"/>
      </w:r>
      <w:bookmarkStart w:id="394" w:name="_Toc107246288"/>
      <w:r/>
      <w:bookmarkStart w:id="395" w:name="_Toc104560907"/>
      <w:r/>
      <w:bookmarkStart w:id="396" w:name="_Toc157071048"/>
      <w:r/>
      <w:bookmarkStart w:id="397" w:name="_Toc103848592"/>
      <w:r/>
      <w:bookmarkStart w:id="398" w:name="_Toc102117324"/>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-5）依法缴纳社会保障资金的相关材料</w:t>
      </w:r>
      <w:bookmarkEnd w:id="394"/>
      <w:r/>
      <w:bookmarkEnd w:id="395"/>
      <w:r/>
      <w:bookmarkEnd w:id="396"/>
      <w:r/>
      <w:bookmarkEnd w:id="397"/>
      <w:r/>
      <w:bookmarkEnd w:id="398"/>
      <w:r/>
      <w:r/>
    </w:p>
    <w:p>
      <w:pPr>
        <w:ind w:firstLine="426"/>
        <w:jc w:val="center"/>
        <w:spacing w:line="360" w:lineRule="auto"/>
        <w:rPr>
          <w:b/>
          <w:bCs/>
          <w:color w:val="auto"/>
          <w:highlight w:val="none"/>
        </w:rPr>
      </w:pPr>
      <w:r>
        <w:rPr>
          <w:b/>
          <w:bCs/>
          <w:color w:val="auto"/>
          <w:highlight w:val="none"/>
        </w:rPr>
        <w:t xml:space="preserve">注：</w:t>
      </w:r>
      <w:r>
        <w:rPr>
          <w:rFonts w:hint="eastAsia"/>
          <w:b/>
          <w:bCs/>
          <w:color w:val="auto"/>
          <w:highlight w:val="none"/>
        </w:rPr>
        <w:t xml:space="preserve">根据招标公告的要求提供</w:t>
      </w:r>
      <w:r/>
    </w:p>
    <w:p>
      <w:pPr>
        <w:ind w:firstLine="426"/>
        <w:spacing w:line="360" w:lineRule="auto"/>
        <w:rPr>
          <w:b/>
          <w:bCs/>
          <w:color w:val="auto"/>
          <w:highlight w:val="none"/>
        </w:rPr>
      </w:pPr>
      <w:r>
        <w:rPr>
          <w:b/>
          <w:bCs/>
          <w:color w:val="auto"/>
          <w:highlight w:val="none"/>
        </w:rPr>
      </w:r>
      <w:r/>
    </w:p>
    <w:p>
      <w:pPr>
        <w:pStyle w:val="906"/>
        <w:ind w:firstLine="646"/>
        <w:spacing w:before="156" w:after="156" w:line="240" w:lineRule="atLeast"/>
        <w:rPr>
          <w:rFonts w:ascii="Times New Roman" w:hAnsi="Times New Roman"/>
          <w:b w:val="0"/>
          <w:color w:val="auto"/>
          <w:sz w:val="24"/>
          <w:highlight w:val="none"/>
        </w:rPr>
      </w:pPr>
      <w:r>
        <w:rPr>
          <w:rFonts w:ascii="Times New Roman" w:hAnsi="Times New Roman"/>
          <w:b w:val="0"/>
          <w:bCs w:val="0"/>
          <w:color w:val="auto"/>
          <w:highlight w:val="none"/>
        </w:rPr>
        <w:br w:type="page" w:clear="all"/>
      </w:r>
      <w:bookmarkStart w:id="399" w:name="_Toc103848594"/>
      <w:r/>
      <w:bookmarkStart w:id="400" w:name="_Toc102117325"/>
      <w:r/>
      <w:bookmarkStart w:id="401" w:name="_Toc157071049"/>
      <w:r/>
      <w:bookmarkStart w:id="402" w:name="_Toc104560909"/>
      <w:r/>
      <w:bookmarkStart w:id="403" w:name="_Toc107246289"/>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-6）没有重大违法记录的书面声明</w:t>
      </w:r>
      <w:bookmarkEnd w:id="399"/>
      <w:r/>
      <w:bookmarkEnd w:id="400"/>
      <w:r/>
      <w:bookmarkEnd w:id="401"/>
      <w:r/>
      <w:bookmarkEnd w:id="402"/>
      <w:r/>
      <w:bookmarkEnd w:id="403"/>
      <w:r/>
      <w:r/>
    </w:p>
    <w:p>
      <w:pPr>
        <w:ind w:firstLine="426"/>
        <w:spacing w:line="360" w:lineRule="auto"/>
        <w:rPr>
          <w:b/>
          <w:bCs/>
          <w:color w:val="auto"/>
          <w:highlight w:val="none"/>
        </w:rPr>
      </w:pPr>
      <w:r>
        <w:rPr>
          <w:b/>
          <w:bCs/>
          <w:color w:val="auto"/>
          <w:highlight w:val="none"/>
        </w:rPr>
      </w:r>
      <w:r/>
    </w:p>
    <w:p>
      <w:pPr>
        <w:ind w:firstLine="426"/>
        <w:spacing w:line="360" w:lineRule="auto"/>
        <w:rPr>
          <w:b/>
          <w:bCs/>
          <w:color w:val="auto"/>
          <w:highlight w:val="none"/>
        </w:rPr>
      </w:pPr>
      <w:r>
        <w:rPr>
          <w:b/>
          <w:bCs/>
          <w:color w:val="auto"/>
          <w:highlight w:val="none"/>
        </w:rPr>
        <w:t xml:space="preserve">注：参加政府采购活动前3年内在经营活动中没有重大违法记录的书面声明（提供声明函原件）。</w:t>
      </w:r>
      <w:r/>
    </w:p>
    <w:p>
      <w:pPr>
        <w:ind w:firstLine="649"/>
        <w:jc w:val="center"/>
        <w:spacing w:line="360" w:lineRule="auto"/>
        <w:rPr>
          <w:b/>
          <w:color w:val="auto"/>
          <w:sz w:val="32"/>
          <w:szCs w:val="32"/>
          <w:highlight w:val="none"/>
        </w:rPr>
      </w:pPr>
      <w:r>
        <w:rPr>
          <w:b/>
          <w:color w:val="auto"/>
          <w:sz w:val="32"/>
          <w:szCs w:val="32"/>
          <w:highlight w:val="none"/>
        </w:rPr>
      </w:r>
      <w:r/>
    </w:p>
    <w:p>
      <w:pPr>
        <w:ind w:firstLine="649"/>
        <w:jc w:val="center"/>
        <w:spacing w:line="360" w:lineRule="auto"/>
        <w:rPr>
          <w:b/>
          <w:color w:val="auto"/>
          <w:sz w:val="32"/>
          <w:szCs w:val="32"/>
          <w:highlight w:val="none"/>
        </w:rPr>
      </w:pPr>
      <w:r>
        <w:rPr>
          <w:b/>
          <w:color w:val="auto"/>
          <w:sz w:val="32"/>
          <w:szCs w:val="32"/>
          <w:highlight w:val="none"/>
        </w:rPr>
      </w:r>
      <w:r/>
    </w:p>
    <w:p>
      <w:pPr>
        <w:ind w:firstLine="889"/>
        <w:jc w:val="center"/>
        <w:spacing w:line="360" w:lineRule="auto"/>
        <w:rPr>
          <w:bCs/>
          <w:color w:val="auto"/>
          <w:sz w:val="44"/>
          <w:szCs w:val="44"/>
          <w:highlight w:val="none"/>
        </w:rPr>
      </w:pPr>
      <w:r>
        <w:rPr>
          <w:bCs/>
          <w:color w:val="auto"/>
          <w:sz w:val="44"/>
          <w:szCs w:val="44"/>
          <w:highlight w:val="none"/>
        </w:rPr>
        <w:t xml:space="preserve">声  明</w:t>
      </w:r>
      <w:r/>
    </w:p>
    <w:p>
      <w:pPr>
        <w:ind w:firstLine="566"/>
        <w:rPr>
          <w:color w:val="auto"/>
          <w:sz w:val="28"/>
          <w:szCs w:val="28"/>
          <w:highlight w:val="none"/>
        </w:rPr>
      </w:pPr>
      <w:r>
        <w:rPr>
          <w:color w:val="auto"/>
          <w:sz w:val="28"/>
          <w:szCs w:val="28"/>
          <w:highlight w:val="none"/>
        </w:rPr>
      </w:r>
      <w:r/>
    </w:p>
    <w:p>
      <w:pPr>
        <w:spacing w:line="360" w:lineRule="auto"/>
        <w:rPr>
          <w:bCs/>
          <w:color w:val="auto"/>
          <w:highlight w:val="none"/>
        </w:rPr>
      </w:pPr>
      <w:r>
        <w:rPr>
          <w:bCs/>
          <w:color w:val="auto"/>
          <w:highlight w:val="none"/>
        </w:rPr>
        <w:tab/>
      </w:r>
      <w:r>
        <w:rPr>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color w:val="auto"/>
          <w:highlight w:val="none"/>
        </w:rPr>
      </w:pPr>
      <w:r>
        <w:rPr>
          <w:bCs/>
          <w:color w:val="auto"/>
          <w:highlight w:val="none"/>
        </w:rPr>
        <w:t xml:space="preserve">                                    </w:t>
      </w:r>
      <w:r/>
    </w:p>
    <w:p>
      <w:pPr>
        <w:spacing w:line="360" w:lineRule="auto"/>
        <w:rPr>
          <w:bCs/>
          <w:color w:val="auto"/>
          <w:highlight w:val="none"/>
        </w:rPr>
      </w:pPr>
      <w:r>
        <w:rPr>
          <w:bCs/>
          <w:color w:val="auto"/>
          <w:highlight w:val="none"/>
        </w:rPr>
      </w:r>
      <w:r/>
    </w:p>
    <w:p>
      <w:pPr>
        <w:spacing w:line="360" w:lineRule="auto"/>
        <w:rPr>
          <w:bCs/>
          <w:color w:val="auto"/>
          <w:highlight w:val="none"/>
        </w:rPr>
      </w:pPr>
      <w:r>
        <w:rPr>
          <w:bCs/>
          <w:color w:val="auto"/>
          <w:highlight w:val="none"/>
        </w:rPr>
        <w:t xml:space="preserve">  </w:t>
      </w:r>
      <w:r/>
    </w:p>
    <w:p>
      <w:pPr>
        <w:ind w:firstLine="3990"/>
        <w:spacing w:line="360" w:lineRule="auto"/>
        <w:rPr>
          <w:color w:val="auto"/>
          <w:szCs w:val="21"/>
          <w:highlight w:val="none"/>
          <w:u w:val="single"/>
        </w:rPr>
      </w:pPr>
      <w:r>
        <w:rPr>
          <w:bCs/>
          <w:color w:val="auto"/>
          <w:highlight w:val="none"/>
        </w:rPr>
        <w:t xml:space="preserve">投标人名称（公章）：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990"/>
        <w:spacing w:line="360" w:lineRule="auto"/>
        <w:rPr>
          <w:bCs/>
          <w:color w:val="auto"/>
          <w:highlight w:val="none"/>
        </w:rPr>
      </w:pPr>
      <w:r>
        <w:rPr>
          <w:bCs/>
          <w:color w:val="auto"/>
          <w:highlight w:val="none"/>
        </w:rPr>
      </w:r>
      <w:r/>
    </w:p>
    <w:p>
      <w:pPr>
        <w:rPr>
          <w:color w:val="auto"/>
          <w:szCs w:val="21"/>
          <w:highlight w:val="none"/>
        </w:rPr>
      </w:pPr>
      <w:r>
        <w:rPr>
          <w:bCs/>
          <w:color w:val="auto"/>
          <w:highlight w:val="none"/>
        </w:rPr>
        <w:t xml:space="preserve">                                      </w:t>
      </w:r>
      <w:r>
        <w:rPr>
          <w:color w:val="auto"/>
          <w:szCs w:val="21"/>
          <w:highlight w:val="none"/>
        </w:rPr>
        <w:t xml:space="preserve">法定代表人</w:t>
      </w:r>
      <w:r/>
    </w:p>
    <w:p>
      <w:pPr>
        <w:ind w:firstLine="3990"/>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990"/>
        <w:rPr>
          <w:color w:val="auto"/>
          <w:szCs w:val="21"/>
          <w:highlight w:val="none"/>
          <w:u w:val="single"/>
        </w:rPr>
      </w:pPr>
      <w:r>
        <w:rPr>
          <w:color w:val="auto"/>
          <w:szCs w:val="21"/>
          <w:highlight w:val="none"/>
          <w:u w:val="single"/>
        </w:rPr>
      </w:r>
      <w:r/>
    </w:p>
    <w:p>
      <w:pPr>
        <w:spacing w:line="360" w:lineRule="auto"/>
        <w:rPr>
          <w:bCs/>
          <w:color w:val="auto"/>
          <w:highlight w:val="none"/>
        </w:rPr>
      </w:pPr>
      <w:r>
        <w:rPr>
          <w:bCs/>
          <w:color w:val="auto"/>
          <w:highlight w:val="none"/>
        </w:rPr>
        <w:t xml:space="preserve">                                      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06"/>
        <w:ind w:firstLine="646"/>
        <w:spacing w:before="156" w:after="156" w:line="240" w:lineRule="atLeast"/>
        <w:rPr>
          <w:rFonts w:ascii="Times New Roman" w:hAnsi="Times New Roman"/>
          <w:b w:val="0"/>
          <w:color w:val="auto"/>
          <w:sz w:val="24"/>
          <w:szCs w:val="24"/>
          <w:highlight w:val="none"/>
        </w:rPr>
      </w:pPr>
      <w:r>
        <w:rPr>
          <w:rFonts w:ascii="Times New Roman" w:hAnsi="Times New Roman"/>
          <w:b w:val="0"/>
          <w:color w:val="auto"/>
          <w:highlight w:val="none"/>
        </w:rPr>
        <w:br w:type="page" w:clear="all"/>
      </w:r>
      <w:bookmarkStart w:id="404" w:name="_Toc107246290"/>
      <w:r/>
      <w:bookmarkStart w:id="405" w:name="_Toc104560910"/>
      <w:r/>
      <w:bookmarkStart w:id="406" w:name="_Toc157071050"/>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-7）承诺函</w:t>
      </w:r>
      <w:bookmarkEnd w:id="404"/>
      <w:r/>
      <w:bookmarkEnd w:id="405"/>
      <w:r/>
      <w:bookmarkEnd w:id="406"/>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（一）本单位郑重承诺满足以下要求：</w:t>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1.投标人单位负责人为同一人或者存在直接控股、管理关系的不同投标人，不得同时参加本项目的采购活动。</w:t>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2.凡为采购项目提供整体设计、规范编制或者项目管理、监理、检测等服务的投标人，不得再参加本项目的采购活动。</w:t>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（二）本单位郑重承诺，我单位无以下不良信用记录情形：</w:t>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1.被人民法院列入失信被执行人；</w:t>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2.被税务部门列入重大税收违法失信主体；</w:t>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3.被政府采购监管部门列入政府采购严重违法失信行为记录名单；</w:t>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4.不符合《政府采购法》第二十二条规定的条件。</w:t>
      </w:r>
      <w:r/>
    </w:p>
    <w:p>
      <w:pPr>
        <w:pStyle w:val="1108"/>
        <w:ind w:firstLine="420"/>
        <w:spacing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08"/>
        <w:ind w:firstLine="400"/>
        <w:rPr>
          <w:rFonts w:ascii="Times New Roman" w:hAnsi="Times New Roman"/>
          <w:color w:val="auto"/>
          <w:highlight w:val="none"/>
        </w:rPr>
      </w:pPr>
      <w:r>
        <w:rPr>
          <w:rFonts w:ascii="Times New Roman" w:hAnsi="Times New Roman"/>
          <w:color w:val="auto"/>
          <w:highlight w:val="none"/>
        </w:rPr>
      </w:r>
      <w:r/>
    </w:p>
    <w:p>
      <w:pPr>
        <w:pStyle w:val="1108"/>
        <w:ind w:firstLine="400"/>
        <w:rPr>
          <w:rFonts w:ascii="Times New Roman" w:hAnsi="Times New Roman"/>
          <w:color w:val="auto"/>
          <w:highlight w:val="none"/>
        </w:rPr>
      </w:pPr>
      <w:r>
        <w:rPr>
          <w:rFonts w:ascii="Times New Roman" w:hAnsi="Times New Roman"/>
          <w:color w:val="auto"/>
          <w:highlight w:val="none"/>
        </w:rPr>
      </w:r>
      <w:r/>
    </w:p>
    <w:p>
      <w:pPr>
        <w:pStyle w:val="1108"/>
        <w:ind w:firstLine="400"/>
        <w:rPr>
          <w:rFonts w:ascii="Times New Roman" w:hAnsi="Times New Roman"/>
          <w:color w:val="auto"/>
          <w:highlight w:val="none"/>
        </w:rPr>
      </w:pPr>
      <w:r>
        <w:rPr>
          <w:rFonts w:ascii="Times New Roman" w:hAnsi="Times New Roman"/>
          <w:color w:val="auto"/>
          <w:highlight w:val="none"/>
        </w:rPr>
      </w:r>
      <w:r/>
    </w:p>
    <w:p>
      <w:pPr>
        <w:ind w:firstLine="3990"/>
        <w:spacing w:line="360" w:lineRule="auto"/>
        <w:rPr>
          <w:color w:val="auto"/>
          <w:szCs w:val="21"/>
          <w:highlight w:val="none"/>
          <w:u w:val="single"/>
        </w:rPr>
      </w:pPr>
      <w:r/>
      <w:bookmarkStart w:id="407" w:name="_Toc102117326"/>
      <w:r/>
      <w:bookmarkStart w:id="408" w:name="_Toc103848596"/>
      <w:r>
        <w:rPr>
          <w:bCs/>
          <w:color w:val="auto"/>
          <w:highlight w:val="none"/>
        </w:rPr>
        <w:t xml:space="preserve">投标人名称（公章）：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990"/>
        <w:spacing w:line="360" w:lineRule="auto"/>
        <w:rPr>
          <w:bCs/>
          <w:color w:val="auto"/>
          <w:highlight w:val="none"/>
        </w:rPr>
      </w:pPr>
      <w:r>
        <w:rPr>
          <w:bCs/>
          <w:color w:val="auto"/>
          <w:highlight w:val="none"/>
        </w:rPr>
      </w:r>
      <w:r/>
    </w:p>
    <w:p>
      <w:pPr>
        <w:rPr>
          <w:color w:val="auto"/>
          <w:szCs w:val="21"/>
          <w:highlight w:val="none"/>
        </w:rPr>
      </w:pPr>
      <w:r>
        <w:rPr>
          <w:bCs/>
          <w:color w:val="auto"/>
          <w:highlight w:val="none"/>
        </w:rPr>
        <w:t xml:space="preserve">                                      </w:t>
      </w:r>
      <w:r>
        <w:rPr>
          <w:color w:val="auto"/>
          <w:szCs w:val="21"/>
          <w:highlight w:val="none"/>
        </w:rPr>
        <w:t xml:space="preserve">法定代表人</w:t>
      </w:r>
      <w:r/>
    </w:p>
    <w:p>
      <w:pPr>
        <w:ind w:firstLine="3990"/>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ind w:firstLine="3990"/>
        <w:rPr>
          <w:color w:val="auto"/>
          <w:szCs w:val="21"/>
          <w:highlight w:val="none"/>
          <w:u w:val="single"/>
        </w:rPr>
      </w:pPr>
      <w:r>
        <w:rPr>
          <w:color w:val="auto"/>
          <w:szCs w:val="21"/>
          <w:highlight w:val="none"/>
          <w:u w:val="single"/>
        </w:rPr>
      </w:r>
      <w:r/>
    </w:p>
    <w:p>
      <w:pPr>
        <w:spacing w:line="360" w:lineRule="auto"/>
        <w:rPr>
          <w:bCs/>
          <w:color w:val="auto"/>
          <w:highlight w:val="none"/>
        </w:rPr>
      </w:pPr>
      <w:r>
        <w:rPr>
          <w:bCs/>
          <w:color w:val="auto"/>
          <w:highlight w:val="none"/>
        </w:rPr>
        <w:t xml:space="preserve">                                      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06"/>
        <w:ind w:firstLine="487"/>
        <w:spacing w:before="156" w:after="156"/>
        <w:rPr>
          <w:rFonts w:ascii="Times New Roman" w:hAnsi="Times New Roman"/>
          <w:bCs w:val="0"/>
          <w:color w:val="auto"/>
          <w:sz w:val="24"/>
          <w:szCs w:val="24"/>
          <w:highlight w:val="none"/>
        </w:rPr>
      </w:pPr>
      <w:r>
        <w:rPr>
          <w:rFonts w:ascii="Times New Roman" w:hAnsi="Times New Roman"/>
          <w:bCs w:val="0"/>
          <w:color w:val="auto"/>
          <w:sz w:val="24"/>
          <w:szCs w:val="24"/>
          <w:highlight w:val="none"/>
        </w:rPr>
        <w:br w:type="page" w:clear="all"/>
      </w:r>
      <w:bookmarkStart w:id="409" w:name="_Toc104560911"/>
      <w:r/>
      <w:bookmarkStart w:id="410" w:name="_Toc157071051"/>
      <w:r/>
      <w:bookmarkStart w:id="411" w:name="_Toc107246291"/>
      <w:r>
        <w:rPr>
          <w:rFonts w:ascii="Times New Roman" w:hAnsi="Times New Roman"/>
          <w:bCs w:val="0"/>
          <w:color w:val="auto"/>
          <w:sz w:val="24"/>
          <w:szCs w:val="24"/>
          <w:highlight w:val="none"/>
        </w:rPr>
        <w:t xml:space="preserve">（</w:t>
      </w:r>
      <w:r>
        <w:rPr>
          <w:rFonts w:hint="eastAsia" w:ascii="Times New Roman" w:hAnsi="Times New Roman"/>
          <w:bCs w:val="0"/>
          <w:color w:val="auto"/>
          <w:sz w:val="24"/>
          <w:szCs w:val="24"/>
          <w:highlight w:val="none"/>
        </w:rPr>
        <w:t xml:space="preserve">8</w:t>
      </w:r>
      <w:r>
        <w:rPr>
          <w:rFonts w:ascii="Times New Roman" w:hAnsi="Times New Roman"/>
          <w:bCs w:val="0"/>
          <w:color w:val="auto"/>
          <w:sz w:val="24"/>
          <w:szCs w:val="24"/>
          <w:highlight w:val="none"/>
        </w:rPr>
        <w:t xml:space="preserve">-8）</w:t>
      </w:r>
      <w:bookmarkEnd w:id="407"/>
      <w:r>
        <w:rPr>
          <w:rFonts w:ascii="Times New Roman" w:hAnsi="Times New Roman"/>
          <w:bCs w:val="0"/>
          <w:color w:val="auto"/>
          <w:sz w:val="24"/>
          <w:szCs w:val="24"/>
          <w:highlight w:val="none"/>
        </w:rPr>
        <w:t xml:space="preserve">招标文件要求的其它实质性资格资信证明文件</w:t>
      </w:r>
      <w:bookmarkEnd w:id="409"/>
      <w:r/>
      <w:bookmarkEnd w:id="410"/>
      <w:r/>
      <w:bookmarkEnd w:id="411"/>
      <w:r/>
      <w:r/>
    </w:p>
    <w:p>
      <w:pPr>
        <w:jc w:val="center"/>
        <w:spacing w:line="360" w:lineRule="auto"/>
        <w:rPr>
          <w:bCs/>
          <w:color w:val="auto"/>
          <w:szCs w:val="21"/>
          <w:highlight w:val="none"/>
        </w:rPr>
      </w:pPr>
      <w:r/>
      <w:bookmarkStart w:id="412" w:name="_Toc107246292"/>
      <w:r>
        <w:rPr>
          <w:rFonts w:hint="eastAsia"/>
          <w:bCs/>
          <w:color w:val="auto"/>
          <w:szCs w:val="21"/>
          <w:highlight w:val="none"/>
        </w:rPr>
        <w:t xml:space="preserve">注：根据磋商公告的要求提供以下证明材料：</w:t>
      </w:r>
      <w:r/>
    </w:p>
    <w:p>
      <w:pPr>
        <w:rPr>
          <w:bCs/>
          <w:color w:val="auto"/>
          <w:szCs w:val="21"/>
          <w:highlight w:val="none"/>
        </w:rPr>
      </w:pPr>
      <w:r>
        <w:rPr>
          <w:rFonts w:hint="eastAsia"/>
          <w:bCs/>
          <w:color w:val="auto"/>
          <w:szCs w:val="21"/>
          <w:highlight w:val="none"/>
        </w:rPr>
        <w:br w:type="page" w:clear="all"/>
      </w:r>
      <w:bookmarkEnd w:id="408"/>
      <w:r/>
      <w:bookmarkEnd w:id="412"/>
      <w:r/>
      <w:r/>
    </w:p>
    <w:p>
      <w:pPr>
        <w:pStyle w:val="906"/>
        <w:ind w:firstLine="487"/>
        <w:spacing w:before="156" w:after="156"/>
        <w:rPr>
          <w:rFonts w:ascii="Times New Roman" w:hAnsi="Times New Roman"/>
          <w:b w:val="0"/>
          <w:color w:val="auto"/>
          <w:sz w:val="24"/>
          <w:szCs w:val="24"/>
          <w:highlight w:val="none"/>
        </w:rPr>
      </w:pPr>
      <w:r/>
      <w:bookmarkStart w:id="413" w:name="_Toc157071052"/>
      <w:r/>
      <w:bookmarkStart w:id="414" w:name="_Toc104560915"/>
      <w:r/>
      <w:bookmarkStart w:id="415" w:name="_Toc107246296"/>
      <w:r/>
      <w:bookmarkStart w:id="416" w:name="_Toc103848598"/>
      <w:r/>
      <w:bookmarkStart w:id="417" w:name="_Toc102117330"/>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9</w:t>
      </w:r>
      <w:r>
        <w:rPr>
          <w:rFonts w:ascii="Times New Roman" w:hAnsi="Times New Roman"/>
          <w:color w:val="auto"/>
          <w:sz w:val="24"/>
          <w:szCs w:val="24"/>
          <w:highlight w:val="none"/>
        </w:rPr>
        <w:t xml:space="preserve">）公章授权书（如需）</w:t>
      </w:r>
      <w:bookmarkEnd w:id="413"/>
      <w:r/>
      <w:bookmarkEnd w:id="414"/>
      <w:r/>
      <w:bookmarkEnd w:id="415"/>
      <w:r/>
      <w:bookmarkEnd w:id="416"/>
      <w:r/>
      <w:bookmarkEnd w:id="417"/>
      <w:r/>
      <w:r/>
    </w:p>
    <w:p>
      <w:pPr>
        <w:pStyle w:val="1108"/>
        <w:ind w:firstLine="0"/>
        <w:rPr>
          <w:rFonts w:ascii="Times New Roman" w:hAnsi="Times New Roman"/>
          <w:b/>
          <w:color w:val="auto"/>
          <w:sz w:val="21"/>
          <w:szCs w:val="21"/>
          <w:highlight w:val="none"/>
        </w:rPr>
      </w:pPr>
      <w:r>
        <w:rPr>
          <w:rFonts w:ascii="Times New Roman" w:hAnsi="Times New Roman"/>
          <w:b/>
          <w:color w:val="auto"/>
          <w:sz w:val="21"/>
          <w:szCs w:val="21"/>
          <w:highlight w:val="none"/>
        </w:rPr>
      </w:r>
      <w:r/>
    </w:p>
    <w:p>
      <w:pPr>
        <w:pStyle w:val="1108"/>
        <w:ind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______________________（采购人）</w:t>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______</w:t>
      </w:r>
      <w:r>
        <w:rPr>
          <w:rFonts w:ascii="Times New Roman" w:hAnsi="Times New Roman"/>
          <w:color w:val="auto"/>
          <w:sz w:val="21"/>
          <w:szCs w:val="21"/>
          <w:highlight w:val="none"/>
          <w:u w:val="single"/>
        </w:rPr>
        <w:t xml:space="preserve">(投标人名称)</w:t>
      </w:r>
      <w:r>
        <w:rPr>
          <w:rFonts w:ascii="Times New Roman" w:hAnsi="Times New Roman"/>
          <w:color w:val="auto"/>
          <w:sz w:val="21"/>
          <w:szCs w:val="21"/>
          <w:highlight w:val="none"/>
        </w:rPr>
        <w:t xml:space="preserve">______，中华人民共和国合法企业，法定地址：____________________。在参与</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u w:val="single"/>
        </w:rPr>
        <w:t xml:space="preserve">项目（项目名称）（项目编号：</w:t>
      </w:r>
      <w:r>
        <w:rPr>
          <w:rFonts w:hint="eastAsia" w:ascii="Times New Roman" w:hAnsi="Times New Roman"/>
          <w:color w:val="auto"/>
          <w:sz w:val="21"/>
          <w:szCs w:val="21"/>
          <w:highlight w:val="none"/>
          <w:u w:val="single"/>
        </w:rPr>
        <w:t xml:space="preserve">    </w:t>
      </w:r>
      <w:r>
        <w:rPr>
          <w:rFonts w:ascii="Times New Roman" w:hAnsi="Times New Roman"/>
          <w:color w:val="auto"/>
          <w:sz w:val="21"/>
          <w:szCs w:val="21"/>
          <w:highlight w:val="none"/>
          <w:u w:val="single"/>
        </w:rPr>
        <w:t xml:space="preserve">）</w:t>
      </w:r>
      <w:r>
        <w:rPr>
          <w:rFonts w:ascii="Times New Roman" w:hAnsi="Times New Roman"/>
          <w:color w:val="auto"/>
          <w:sz w:val="21"/>
          <w:szCs w:val="21"/>
          <w:highlight w:val="none"/>
        </w:rPr>
        <w:t xml:space="preserve">协商活动中，我单位授权</w:t>
      </w:r>
      <w:r>
        <w:rPr>
          <w:rFonts w:ascii="Times New Roman" w:hAnsi="Times New Roman"/>
          <w:color w:val="auto"/>
          <w:sz w:val="21"/>
          <w:szCs w:val="21"/>
          <w:highlight w:val="none"/>
          <w:u w:val="single"/>
        </w:rPr>
        <w:t xml:space="preserve">（其他形式的印章名称）     </w:t>
      </w:r>
      <w:r>
        <w:rPr>
          <w:rFonts w:ascii="Times New Roman" w:hAnsi="Times New Roman"/>
          <w:color w:val="auto"/>
          <w:sz w:val="21"/>
          <w:szCs w:val="21"/>
          <w:highlight w:val="none"/>
        </w:rPr>
        <w:t xml:space="preserve">（样式附后）在此次活动中代为公章使用。</w:t>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u w:val="single"/>
        </w:rPr>
        <w:t xml:space="preserve">（其他形式的印章名称）   </w:t>
      </w:r>
      <w:r>
        <w:rPr>
          <w:rFonts w:ascii="Times New Roman" w:hAnsi="Times New Roman"/>
          <w:color w:val="auto"/>
          <w:sz w:val="21"/>
          <w:szCs w:val="21"/>
          <w:highlight w:val="none"/>
        </w:rPr>
        <w:t xml:space="preserve">所签署的投标文件、澄清等，我单位承认并同意具备与我单位公章签署等同的法律效力。</w:t>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u w:val="single"/>
        </w:rPr>
        <w:t xml:space="preserve">（其他形式的印章名称）     </w:t>
      </w:r>
      <w:r>
        <w:rPr>
          <w:rFonts w:ascii="Times New Roman" w:hAnsi="Times New Roman"/>
          <w:color w:val="auto"/>
          <w:sz w:val="21"/>
          <w:szCs w:val="21"/>
          <w:highlight w:val="none"/>
        </w:rPr>
        <w:t xml:space="preserve">签署的所有文件、协议不因授权的撤销而失效。</w:t>
      </w:r>
      <w:r/>
    </w:p>
    <w:p>
      <w:pPr>
        <w:pStyle w:val="1108"/>
        <w:ind w:right="840" w:firstLine="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right="840" w:firstLine="199"/>
        <w:rPr>
          <w:rFonts w:ascii="Times New Roman" w:hAnsi="Times New Roman"/>
          <w:color w:val="auto"/>
          <w:sz w:val="21"/>
          <w:szCs w:val="21"/>
          <w:highlight w:val="none"/>
        </w:rPr>
      </w:pPr>
      <w:r>
        <w:rPr>
          <w:rFonts w:ascii="Times New Roman" w:hAnsi="Times New Roman"/>
          <w:color w:val="auto"/>
          <w:sz w:val="21"/>
          <w:szCs w:val="21"/>
          <w:highlight w:val="none"/>
        </w:rPr>
        <w:t xml:space="preserve">其他形式的印章名称：______________</w:t>
      </w:r>
      <w:r/>
    </w:p>
    <w:p>
      <w:pPr>
        <w:pStyle w:val="1108"/>
        <w:ind w:right="420" w:firstLine="190"/>
        <w:rPr>
          <w:rFonts w:ascii="Times New Roman" w:hAnsi="Times New Roman"/>
          <w:color w:val="auto"/>
          <w:sz w:val="21"/>
          <w:szCs w:val="21"/>
          <w:highlight w:val="none"/>
        </w:rPr>
      </w:pPr>
      <w:r>
        <w:rPr>
          <w:rFonts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color w:val="auto"/>
          <w:sz w:val="21"/>
          <w:szCs w:val="21"/>
          <w:highlight w:val="none"/>
        </w:rPr>
        <w:t xml:space="preserve">印章样式：</w:t>
      </w:r>
      <w:r/>
    </w:p>
    <w:p>
      <w:pPr>
        <w:pStyle w:val="1108"/>
        <w:ind w:right="420" w:firstLine="4819"/>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right="420" w:firstLine="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right="420" w:firstLine="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right="420" w:firstLine="3150"/>
        <w:jc w:val="left"/>
        <w:spacing w:line="276" w:lineRule="auto"/>
        <w:rPr>
          <w:rFonts w:ascii="Times New Roman" w:hAnsi="Times New Roman"/>
          <w:color w:val="auto"/>
          <w:sz w:val="21"/>
          <w:szCs w:val="21"/>
          <w:highlight w:val="none"/>
          <w:u w:val="single"/>
        </w:rPr>
      </w:pPr>
      <w:r>
        <w:rPr>
          <w:rFonts w:ascii="Times New Roman" w:hAnsi="Times New Roman"/>
          <w:color w:val="auto"/>
          <w:sz w:val="21"/>
          <w:szCs w:val="21"/>
          <w:highlight w:val="none"/>
        </w:rPr>
        <w:t xml:space="preserve">投标人名称（公章）：</w:t>
      </w:r>
      <w:r>
        <w:rPr>
          <w:rFonts w:ascii="Times New Roman" w:hAnsi="Times New Roman"/>
          <w:color w:val="auto"/>
          <w:sz w:val="21"/>
          <w:szCs w:val="21"/>
          <w:highlight w:val="none"/>
          <w:u w:val="single"/>
        </w:rPr>
        <w:t xml:space="preserve">                         </w:t>
      </w:r>
      <w:r/>
    </w:p>
    <w:p>
      <w:pPr>
        <w:pStyle w:val="1108"/>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r/>
    </w:p>
    <w:p>
      <w:pPr>
        <w:pStyle w:val="1108"/>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法定代表人</w:t>
      </w:r>
      <w:r/>
    </w:p>
    <w:p>
      <w:pPr>
        <w:pStyle w:val="1108"/>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或其授权代表（签字或盖章）：_________________</w:t>
      </w:r>
      <w:r/>
    </w:p>
    <w:p>
      <w:pPr>
        <w:pStyle w:val="1108"/>
        <w:ind w:right="420" w:firstLine="3150"/>
        <w:jc w:val="left"/>
        <w:spacing w:line="276"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12"/>
        <w:jc w:val="left"/>
        <w:spacing w:line="276" w:lineRule="auto"/>
        <w:rPr>
          <w:bCs/>
          <w:color w:val="auto"/>
          <w:highlight w:val="none"/>
        </w:rPr>
        <w:sectPr>
          <w:footerReference w:type="default" r:id="rId13"/>
          <w:footerReference w:type="even" r:id="rId14"/>
          <w:footnotePr/>
          <w:endnotePr/>
          <w:type w:val="nextPage"/>
          <w:pgSz w:w="11906" w:h="16838" w:orient="portrait"/>
          <w:pgMar w:top="1440" w:right="1278" w:bottom="1440" w:left="1588" w:header="851" w:footer="0" w:gutter="0"/>
          <w:cols w:num="1" w:sep="0" w:space="720" w:equalWidth="1"/>
          <w:docGrid w:linePitch="360"/>
        </w:sect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06"/>
        <w:spacing w:before="156" w:after="156"/>
        <w:rPr>
          <w:rFonts w:ascii="Times New Roman" w:hAnsi="Times New Roman"/>
          <w:bCs w:val="0"/>
          <w:color w:val="auto"/>
          <w:sz w:val="24"/>
          <w:szCs w:val="24"/>
          <w:highlight w:val="none"/>
        </w:rPr>
      </w:pPr>
      <w:r/>
      <w:bookmarkStart w:id="418" w:name="_Toc157071056"/>
      <w:r>
        <w:rPr>
          <w:rFonts w:hint="eastAsia" w:ascii="Times New Roman" w:hAnsi="Times New Roman"/>
          <w:bCs w:val="0"/>
          <w:color w:val="auto"/>
          <w:sz w:val="24"/>
          <w:szCs w:val="24"/>
          <w:highlight w:val="none"/>
        </w:rPr>
        <w:t xml:space="preserve">（10）质保期承诺书</w:t>
      </w:r>
      <w:r/>
    </w:p>
    <w:p>
      <w:pPr>
        <w:jc w:val="center"/>
        <w:rPr>
          <w:color w:val="auto"/>
          <w:highlight w:val="none"/>
        </w:rPr>
      </w:pPr>
      <w:r>
        <w:rPr>
          <w:rFonts w:hint="eastAsia"/>
          <w:color w:val="auto"/>
          <w:highlight w:val="none"/>
        </w:rPr>
        <w:t xml:space="preserve">格式自拟</w:t>
      </w:r>
      <w:r/>
    </w:p>
    <w:p>
      <w:pPr>
        <w:jc w:val="center"/>
        <w:rPr>
          <w:color w:val="auto"/>
          <w:highlight w:val="none"/>
        </w:rPr>
      </w:pPr>
      <w:r>
        <w:rPr>
          <w:rFonts w:hint="eastAsia"/>
          <w:color w:val="auto"/>
          <w:highlight w:val="none"/>
        </w:rPr>
        <w:br w:type="page" w:clear="all"/>
      </w:r>
      <w:r/>
    </w:p>
    <w:p>
      <w:pPr>
        <w:pStyle w:val="906"/>
        <w:spacing w:before="156" w:after="156"/>
        <w:rPr>
          <w:rFonts w:ascii="Times New Roman" w:hAnsi="Times New Roman"/>
          <w:bCs w:val="0"/>
          <w:color w:val="auto"/>
          <w:sz w:val="24"/>
          <w:szCs w:val="24"/>
          <w:highlight w:val="none"/>
        </w:rPr>
      </w:pPr>
      <w:r>
        <w:rPr>
          <w:rFonts w:hint="eastAsia" w:ascii="Times New Roman" w:hAnsi="Times New Roman"/>
          <w:bCs w:val="0"/>
          <w:color w:val="auto"/>
          <w:sz w:val="24"/>
          <w:szCs w:val="24"/>
          <w:highlight w:val="none"/>
        </w:rPr>
        <w:t xml:space="preserve">（11）服务方案</w:t>
      </w:r>
      <w:bookmarkEnd w:id="418"/>
      <w:r/>
      <w:r/>
    </w:p>
    <w:p>
      <w:pPr>
        <w:jc w:val="center"/>
        <w:rPr>
          <w:color w:val="auto"/>
          <w:highlight w:val="none"/>
        </w:rPr>
      </w:pPr>
      <w:r>
        <w:rPr>
          <w:color w:val="auto"/>
          <w:highlight w:val="none"/>
        </w:rPr>
        <w:t xml:space="preserve">格式自拟</w:t>
      </w:r>
      <w:r/>
    </w:p>
    <w:p>
      <w:pPr>
        <w:jc w:val="center"/>
        <w:rPr>
          <w:color w:val="auto"/>
          <w:highlight w:val="none"/>
        </w:rPr>
      </w:pPr>
      <w:r>
        <w:rPr>
          <w:color w:val="auto"/>
          <w:highlight w:val="none"/>
        </w:rPr>
        <w:br w:type="page" w:clear="all"/>
      </w:r>
      <w:bookmarkStart w:id="419" w:name="_Toc107246302"/>
      <w:r/>
      <w:bookmarkEnd w:id="419"/>
      <w:r/>
      <w:bookmarkStart w:id="420" w:name="_Toc104560919"/>
      <w:r/>
      <w:bookmarkEnd w:id="420"/>
      <w:r/>
      <w:bookmarkStart w:id="421" w:name="_Toc103848602"/>
      <w:r/>
      <w:bookmarkEnd w:id="421"/>
      <w:r/>
      <w:r/>
    </w:p>
    <w:p>
      <w:pPr>
        <w:pStyle w:val="906"/>
        <w:ind w:firstLine="487"/>
        <w:spacing w:before="156" w:after="156"/>
        <w:rPr>
          <w:rFonts w:ascii="Times New Roman" w:hAnsi="Times New Roman"/>
          <w:bCs w:val="0"/>
          <w:color w:val="auto"/>
          <w:sz w:val="24"/>
          <w:szCs w:val="24"/>
          <w:highlight w:val="none"/>
        </w:rPr>
      </w:pPr>
      <w:r/>
      <w:bookmarkStart w:id="422" w:name="_Toc103848603"/>
      <w:r/>
      <w:bookmarkStart w:id="423" w:name="_Toc107246303"/>
      <w:r/>
      <w:bookmarkStart w:id="424" w:name="_Toc157071058"/>
      <w:r/>
      <w:bookmarkStart w:id="425" w:name="_Toc104560920"/>
      <w:r>
        <w:rPr>
          <w:rFonts w:hint="eastAsia" w:ascii="Times New Roman" w:hAnsi="Times New Roman"/>
          <w:bCs w:val="0"/>
          <w:color w:val="auto"/>
          <w:sz w:val="24"/>
          <w:szCs w:val="24"/>
          <w:highlight w:val="none"/>
        </w:rPr>
        <w:t xml:space="preserve">（12）</w:t>
      </w:r>
      <w:r>
        <w:rPr>
          <w:rFonts w:ascii="Times New Roman" w:hAnsi="Times New Roman"/>
          <w:bCs w:val="0"/>
          <w:color w:val="auto"/>
          <w:sz w:val="24"/>
          <w:szCs w:val="24"/>
          <w:highlight w:val="none"/>
        </w:rPr>
        <w:t xml:space="preserve">用于本项目人员简历表</w:t>
      </w:r>
      <w:bookmarkEnd w:id="422"/>
      <w:r/>
      <w:bookmarkEnd w:id="423"/>
      <w:r/>
      <w:bookmarkEnd w:id="424"/>
      <w:r/>
      <w:bookmarkEnd w:id="425"/>
      <w:r/>
      <w:r/>
    </w:p>
    <w:p>
      <w:pPr>
        <w:pStyle w:val="1108"/>
        <w:ind w:firstLine="400"/>
        <w:rPr>
          <w:rFonts w:ascii="Times New Roman" w:hAnsi="Times New Roman"/>
          <w:color w:val="auto"/>
          <w:highlight w:val="none"/>
        </w:rPr>
      </w:pPr>
      <w:r>
        <w:rPr>
          <w:rFonts w:ascii="Times New Roman" w:hAnsi="Times New Roman"/>
          <w:color w:val="auto"/>
          <w:highlight w:val="none"/>
        </w:rPr>
      </w:r>
      <w:r/>
    </w:p>
    <w:tbl>
      <w:tblPr>
        <w:tblStyle w:val="8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姓名</w:t>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性别</w:t>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职务</w:t>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职称</w:t>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毕业学校、专业</w:t>
            </w:r>
            <w:r/>
          </w:p>
        </w:tc>
        <w:tc>
          <w:tcPr>
            <w:gridSpan w:val="3"/>
            <w:tcW w:w="5808"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身份证号</w:t>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拟在本项目任职</w:t>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执业资格证</w:t>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执业资格证书号</w:t>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gridSpan w:val="4"/>
            <w:tcW w:w="8304"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时间</w:t>
            </w:r>
            <w:r/>
          </w:p>
        </w:tc>
        <w:tc>
          <w:tcPr>
            <w:tcW w:w="165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类似项目名称</w:t>
            </w:r>
            <w:r/>
          </w:p>
        </w:tc>
        <w:tc>
          <w:tcPr>
            <w:tcW w:w="186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担任职务</w:t>
            </w:r>
            <w:r/>
          </w:p>
        </w:tc>
        <w:tc>
          <w:tcPr>
            <w:tcW w:w="2286" w:type="dxa"/>
            <w:vAlign w:val="center"/>
            <w:textDirection w:val="lrTb"/>
            <w:noWrap w:val="false"/>
          </w:tcPr>
          <w:p>
            <w:pPr>
              <w:pStyle w:val="1108"/>
              <w:ind w:firstLine="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Pr>
        <w:tc>
          <w:tcPr>
            <w:tcW w:w="249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65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186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W w:w="2286" w:type="dxa"/>
            <w:vAlign w:val="center"/>
            <w:textDirection w:val="lrTb"/>
            <w:noWrap w:val="false"/>
          </w:tcPr>
          <w:p>
            <w:pPr>
              <w:pStyle w:val="1108"/>
              <w:ind w:firstLine="42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bl>
    <w:p>
      <w:pPr>
        <w:pStyle w:val="1108"/>
        <w:ind w:firstLine="400"/>
        <w:rPr>
          <w:rFonts w:ascii="Times New Roman" w:hAnsi="Times New Roman"/>
          <w:color w:val="auto"/>
          <w:highlight w:val="none"/>
        </w:rPr>
      </w:pPr>
      <w:r>
        <w:rPr>
          <w:rFonts w:ascii="Times New Roman" w:hAnsi="Times New Roman"/>
          <w:color w:val="auto"/>
          <w:highlight w:val="none"/>
        </w:rPr>
      </w:r>
      <w:r/>
    </w:p>
    <w:p>
      <w:pPr>
        <w:pStyle w:val="1108"/>
        <w:ind w:firstLine="400"/>
        <w:rPr>
          <w:rFonts w:ascii="Times New Roman" w:hAnsi="Times New Roman"/>
          <w:color w:val="auto"/>
          <w:highlight w:val="none"/>
        </w:rPr>
      </w:pPr>
      <w:r>
        <w:rPr>
          <w:rFonts w:ascii="Times New Roman" w:hAnsi="Times New Roman"/>
          <w:color w:val="auto"/>
          <w:highlight w:val="none"/>
        </w:rPr>
      </w:r>
      <w:r/>
    </w:p>
    <w:p>
      <w:pPr>
        <w:pStyle w:val="1108"/>
        <w:ind w:firstLine="3769"/>
        <w:rPr>
          <w:rFonts w:ascii="Times New Roman" w:hAnsi="Times New Roman"/>
          <w:color w:val="auto"/>
          <w:sz w:val="21"/>
          <w:szCs w:val="21"/>
          <w:highlight w:val="none"/>
        </w:rPr>
      </w:pPr>
      <w:r>
        <w:rPr>
          <w:rFonts w:ascii="Times New Roman" w:hAnsi="Times New Roman"/>
          <w:color w:val="auto"/>
          <w:sz w:val="21"/>
          <w:szCs w:val="21"/>
          <w:highlight w:val="none"/>
        </w:rPr>
        <w:t xml:space="preserve">投标人名称（公章）：____________</w:t>
      </w:r>
      <w:r>
        <w:rPr>
          <w:rFonts w:ascii="Times New Roman" w:hAnsi="Times New Roman"/>
          <w:color w:val="auto"/>
          <w:sz w:val="21"/>
          <w:szCs w:val="21"/>
          <w:highlight w:val="none"/>
          <w:u w:val="single"/>
        </w:rPr>
        <w:t xml:space="preserve">                </w:t>
      </w:r>
      <w:r/>
    </w:p>
    <w:p>
      <w:pPr>
        <w:pStyle w:val="1108"/>
        <w:ind w:right="420" w:firstLine="3780"/>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法定代表人（单位负责人）</w:t>
      </w:r>
      <w:r/>
    </w:p>
    <w:p>
      <w:pPr>
        <w:pStyle w:val="1108"/>
        <w:ind w:right="420" w:firstLine="3780"/>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或其授权代表（签字或盖章）：_________________</w:t>
      </w:r>
      <w:r/>
    </w:p>
    <w:p>
      <w:pPr>
        <w:pStyle w:val="1108"/>
        <w:ind w:firstLine="3780"/>
        <w:rPr>
          <w:rFonts w:ascii="Times New Roman" w:hAnsi="Times New Roman"/>
          <w:color w:val="auto"/>
          <w:sz w:val="21"/>
          <w:szCs w:val="21"/>
          <w:highlight w:val="none"/>
        </w:rPr>
      </w:pPr>
      <w:r>
        <w:rPr>
          <w:rFonts w:ascii="Times New Roman" w:hAnsi="Times New Roman"/>
          <w:color w:val="auto"/>
          <w:sz w:val="21"/>
          <w:szCs w:val="21"/>
          <w:highlight w:val="none"/>
        </w:rPr>
        <w:t xml:space="preserve">日期：______年____月____日</w:t>
      </w:r>
      <w:r/>
    </w:p>
    <w:p>
      <w:pPr>
        <w:pStyle w:val="906"/>
        <w:ind w:firstLine="649"/>
        <w:spacing w:before="156" w:after="156"/>
        <w:rPr>
          <w:rFonts w:ascii="Times New Roman" w:hAnsi="Times New Roman"/>
          <w:color w:val="auto"/>
          <w:highlight w:val="none"/>
        </w:rPr>
      </w:pPr>
      <w:r>
        <w:rPr>
          <w:rFonts w:ascii="Times New Roman" w:hAnsi="Times New Roman"/>
          <w:color w:val="auto"/>
          <w:highlight w:val="none"/>
        </w:rPr>
        <w:br w:type="page" w:clear="all"/>
      </w:r>
      <w:bookmarkEnd w:id="337"/>
      <w:r/>
      <w:bookmarkStart w:id="426" w:name="_Toc107246305"/>
      <w:r/>
      <w:bookmarkStart w:id="427" w:name="_Toc103848605"/>
      <w:r/>
      <w:bookmarkStart w:id="428" w:name="_Toc104560922"/>
      <w:r/>
      <w:bookmarkStart w:id="429" w:name="_Toc157071059"/>
      <w:r/>
      <w:bookmarkStart w:id="430" w:name="_Toc100905289"/>
      <w:r/>
      <w:bookmarkStart w:id="431" w:name="_Toc96347904"/>
      <w:r>
        <w:rPr>
          <w:rFonts w:hint="eastAsia" w:ascii="Times New Roman" w:hAnsi="Times New Roman"/>
          <w:color w:val="auto"/>
          <w:highlight w:val="none"/>
        </w:rPr>
        <w:t xml:space="preserve">二</w:t>
      </w:r>
      <w:r>
        <w:rPr>
          <w:rFonts w:ascii="Times New Roman" w:hAnsi="Times New Roman"/>
          <w:color w:val="auto"/>
          <w:sz w:val="28"/>
          <w:szCs w:val="24"/>
          <w:highlight w:val="none"/>
        </w:rPr>
        <w:t xml:space="preserve">、其他部分</w:t>
      </w:r>
      <w:bookmarkEnd w:id="426"/>
      <w:r/>
      <w:bookmarkEnd w:id="427"/>
      <w:r/>
      <w:bookmarkEnd w:id="428"/>
      <w:r/>
      <w:bookmarkEnd w:id="429"/>
      <w:r/>
      <w:r/>
    </w:p>
    <w:p>
      <w:pPr>
        <w:rPr>
          <w:color w:val="auto"/>
          <w:highlight w:val="none"/>
        </w:rPr>
      </w:pPr>
      <w:r/>
      <w:bookmarkStart w:id="432" w:name="_Toc103848606"/>
      <w:r/>
      <w:bookmarkStart w:id="433" w:name="_Toc104560923"/>
      <w:r/>
      <w:bookmarkStart w:id="434" w:name="_Toc107246306"/>
      <w:r>
        <w:rPr>
          <w:color w:val="auto"/>
          <w:highlight w:val="none"/>
        </w:rPr>
        <w:br w:type="page" w:clear="all"/>
      </w:r>
      <w:bookmarkStart w:id="435" w:name="_Toc100905295"/>
      <w:r/>
      <w:bookmarkStart w:id="436" w:name="_Toc107246307"/>
      <w:r/>
      <w:bookmarkStart w:id="437" w:name="_Toc104560924"/>
      <w:r/>
      <w:bookmarkStart w:id="438" w:name="_Toc103848607"/>
      <w:r/>
      <w:r/>
    </w:p>
    <w:p>
      <w:pPr>
        <w:pStyle w:val="906"/>
        <w:ind w:firstLine="487"/>
        <w:spacing w:before="156" w:after="156"/>
        <w:rPr>
          <w:rFonts w:ascii="Times New Roman" w:hAnsi="Times New Roman"/>
          <w:bCs w:val="0"/>
          <w:color w:val="auto"/>
          <w:sz w:val="24"/>
          <w:szCs w:val="24"/>
          <w:highlight w:val="none"/>
        </w:rPr>
      </w:pPr>
      <w:r/>
      <w:bookmarkStart w:id="439" w:name="_Toc104560925"/>
      <w:r/>
      <w:bookmarkStart w:id="440" w:name="_Toc103848608"/>
      <w:r/>
      <w:bookmarkStart w:id="441" w:name="_Toc157071060"/>
      <w:r/>
      <w:bookmarkStart w:id="442" w:name="_Toc107246308"/>
      <w:r>
        <w:rPr>
          <w:rFonts w:ascii="Times New Roman" w:hAnsi="Times New Roman"/>
          <w:bCs w:val="0"/>
          <w:color w:val="auto"/>
          <w:sz w:val="24"/>
          <w:szCs w:val="24"/>
          <w:highlight w:val="none"/>
        </w:rPr>
        <w:t xml:space="preserve">（1）要求投标人提交的其他文件材料或证明材料</w:t>
      </w:r>
      <w:bookmarkEnd w:id="439"/>
      <w:r/>
      <w:bookmarkEnd w:id="440"/>
      <w:r/>
      <w:bookmarkEnd w:id="441"/>
      <w:r/>
      <w:bookmarkEnd w:id="442"/>
      <w:r/>
      <w:r/>
    </w:p>
    <w:p>
      <w:pPr>
        <w:pStyle w:val="886"/>
        <w:ind w:left="1260" w:firstLine="487"/>
        <w:rPr>
          <w:rFonts w:ascii="Times New Roman"/>
          <w:color w:val="auto"/>
          <w:highlight w:val="none"/>
        </w:rPr>
      </w:pPr>
      <w:r>
        <w:rPr>
          <w:rFonts w:ascii="Times New Roman"/>
          <w:color w:val="auto"/>
          <w:highlight w:val="none"/>
        </w:rPr>
        <w:br w:type="page" w:clear="all"/>
      </w:r>
      <w:r/>
    </w:p>
    <w:p>
      <w:pPr>
        <w:pStyle w:val="906"/>
        <w:ind w:firstLine="487"/>
        <w:spacing w:before="156" w:after="156"/>
        <w:rPr>
          <w:rFonts w:ascii="Times New Roman" w:hAnsi="Times New Roman"/>
          <w:bCs w:val="0"/>
          <w:color w:val="auto"/>
          <w:sz w:val="24"/>
          <w:szCs w:val="24"/>
          <w:highlight w:val="none"/>
        </w:rPr>
      </w:pPr>
      <w:r/>
      <w:bookmarkStart w:id="443" w:name="_Toc157071061"/>
      <w:r>
        <w:rPr>
          <w:rFonts w:ascii="Times New Roman" w:hAnsi="Times New Roman"/>
          <w:bCs w:val="0"/>
          <w:color w:val="auto"/>
          <w:sz w:val="24"/>
          <w:szCs w:val="24"/>
          <w:highlight w:val="none"/>
        </w:rPr>
        <w:t xml:space="preserve">（2）投标人认为需提供的其他</w:t>
      </w:r>
      <w:bookmarkEnd w:id="435"/>
      <w:r>
        <w:rPr>
          <w:rFonts w:ascii="Times New Roman" w:hAnsi="Times New Roman"/>
          <w:bCs w:val="0"/>
          <w:color w:val="auto"/>
          <w:sz w:val="24"/>
          <w:szCs w:val="24"/>
          <w:highlight w:val="none"/>
        </w:rPr>
        <w:t xml:space="preserve">文件或证明材料</w:t>
      </w:r>
      <w:bookmarkEnd w:id="436"/>
      <w:r/>
      <w:bookmarkEnd w:id="437"/>
      <w:r/>
      <w:bookmarkEnd w:id="438"/>
      <w:r/>
      <w:bookmarkEnd w:id="443"/>
      <w:r/>
      <w:r/>
    </w:p>
    <w:p>
      <w:pPr>
        <w:rPr>
          <w:color w:val="auto"/>
          <w:highlight w:val="none"/>
        </w:rPr>
      </w:pPr>
      <w:r>
        <w:rPr>
          <w:color w:val="auto"/>
          <w:highlight w:val="none"/>
        </w:rPr>
        <w:br w:type="page" w:clear="all"/>
      </w:r>
      <w:r/>
    </w:p>
    <w:p>
      <w:pPr>
        <w:pStyle w:val="906"/>
        <w:ind w:firstLine="487"/>
        <w:spacing w:before="156" w:after="156"/>
        <w:rPr>
          <w:rFonts w:hint="eastAsia"/>
          <w:color w:val="auto"/>
          <w:spacing w:val="2"/>
          <w:position w:val="-3"/>
          <w:szCs w:val="21"/>
          <w:highlight w:val="none"/>
        </w:rPr>
      </w:pPr>
      <w:r/>
      <w:bookmarkStart w:id="444" w:name="_Toc157071062"/>
      <w:r>
        <w:rPr>
          <w:rFonts w:ascii="Times New Roman" w:hAnsi="Times New Roman"/>
          <w:bCs w:val="0"/>
          <w:color w:val="auto"/>
          <w:sz w:val="24"/>
          <w:szCs w:val="24"/>
          <w:highlight w:val="none"/>
        </w:rPr>
        <w:t xml:space="preserve">（3）提供符合政府采购政策的证明材料</w:t>
      </w:r>
      <w:bookmarkEnd w:id="430"/>
      <w:r/>
      <w:bookmarkEnd w:id="432"/>
      <w:r/>
      <w:bookmarkEnd w:id="433"/>
      <w:r/>
      <w:bookmarkEnd w:id="434"/>
      <w:r/>
      <w:bookmarkEnd w:id="444"/>
      <w:r/>
      <w:r/>
    </w:p>
    <w:p>
      <w:pPr>
        <w:pStyle w:val="1108"/>
        <w:ind w:firstLine="482"/>
        <w:jc w:val="center"/>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中小企业声明函（货物）</w:t>
      </w:r>
      <w:r/>
    </w:p>
    <w:p>
      <w:pPr>
        <w:ind w:right="-20" w:firstLine="420"/>
        <w:spacing w:line="360" w:lineRule="auto"/>
        <w:rPr>
          <w:color w:val="auto"/>
          <w:position w:val="-2"/>
          <w:szCs w:val="21"/>
          <w:highlight w:val="none"/>
        </w:rPr>
      </w:pPr>
      <w:r>
        <w:rPr>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1078364006"/>
          <w:placeholder>
            <w:docPart w:val="DefaultPlaceholder_-1854013440"/>
          </w:placeholder>
          <w:rPr>
            <w:color w:val="auto"/>
            <w:position w:val="-2"/>
            <w:szCs w:val="21"/>
            <w:highlight w:val="none"/>
          </w:rPr>
        </w:sdtPr>
        <w:sdtContent>
          <w:r>
            <w:rPr>
              <w:rFonts w:hint="eastAsia"/>
              <w:color w:val="auto"/>
              <w:position w:val="-2"/>
              <w:szCs w:val="21"/>
              <w:highlight w:val="none"/>
              <w:u w:val="single"/>
            </w:rPr>
            <w:t xml:space="preserve">苏州城市学院</w:t>
          </w:r>
        </w:sdtContent>
      </w:sdt>
      <w:r>
        <w:rPr>
          <w:color w:val="auto"/>
          <w:position w:val="-2"/>
          <w:szCs w:val="21"/>
          <w:highlight w:val="none"/>
          <w:u w:val="single"/>
        </w:rPr>
        <w:t xml:space="preserve">的</w:t>
      </w:r>
      <w:sdt>
        <w:sdtPr>
          <w15:appearance w15:val="boundingBox"/>
          <w:id w:val="-8375346"/>
          <w:placeholder>
            <w:docPart w:val="DefaultPlaceholder_-1854013440"/>
          </w:placeholder>
          <w:rPr>
            <w:color w:val="auto"/>
            <w:position w:val="-2"/>
            <w:szCs w:val="21"/>
            <w:highlight w:val="none"/>
            <w:u w:val="single"/>
          </w:rPr>
        </w:sdtPr>
        <w:sdtContent>
          <w:r>
            <w:rPr>
              <w:rFonts w:hint="eastAsia"/>
              <w:color w:val="auto"/>
              <w:position w:val="-2"/>
              <w:szCs w:val="21"/>
              <w:highlight w:val="none"/>
              <w:u w:val="single"/>
            </w:rPr>
            <w:t xml:space="preserve"> 苏州城市学院数字经济与管理学院专业实验平台 </w:t>
          </w:r>
        </w:sdtContent>
      </w:sdt>
      <w:r>
        <w:rPr>
          <w:color w:val="auto"/>
          <w:position w:val="-2"/>
          <w:szCs w:val="21"/>
          <w:highlight w:val="none"/>
        </w:rPr>
        <w:t xml:space="preserve">活动，提供的货物全部由符合政策要求的中小企业制造。相关企业（含联合体中的中小企业、签订分包意向协议的中小企业） 的具体情况如下：</w:t>
      </w:r>
      <w:r/>
    </w:p>
    <w:p>
      <w:pPr>
        <w:ind w:right="-20" w:firstLine="420"/>
        <w:spacing w:line="360" w:lineRule="auto"/>
        <w:rPr>
          <w:color w:val="auto"/>
          <w:position w:val="-2"/>
          <w:szCs w:val="21"/>
          <w:highlight w:val="none"/>
        </w:rPr>
      </w:pPr>
      <w:r>
        <w:rPr>
          <w:color w:val="auto"/>
          <w:position w:val="-2"/>
          <w:szCs w:val="21"/>
          <w:highlight w:val="none"/>
        </w:rPr>
        <w:t xml:space="preserve">1. </w:t>
      </w:r>
      <w:r>
        <w:rPr>
          <w:i/>
          <w:color w:val="auto"/>
          <w:position w:val="-2"/>
          <w:szCs w:val="21"/>
          <w:highlight w:val="none"/>
          <w:u w:val="single"/>
        </w:rPr>
        <w:t xml:space="preserve">（标的名称）</w:t>
      </w:r>
      <w:r>
        <w:rPr>
          <w:color w:val="auto"/>
          <w:position w:val="-2"/>
          <w:szCs w:val="21"/>
          <w:highlight w:val="none"/>
        </w:rPr>
        <w:t xml:space="preserve">，属于</w:t>
      </w:r>
      <w:r>
        <w:rPr>
          <w:rFonts w:hint="eastAsia"/>
          <w:color w:val="auto"/>
          <w:position w:val="-2"/>
          <w:szCs w:val="21"/>
          <w:highlight w:val="none"/>
          <w:u w:val="single"/>
        </w:rPr>
        <w:t xml:space="preserve"> </w:t>
      </w:r>
      <w:r>
        <w:rPr>
          <w:rFonts w:hint="eastAsia"/>
          <w:color w:val="auto"/>
          <w:position w:val="-2"/>
          <w:szCs w:val="21"/>
          <w:highlight w:val="none"/>
          <w:u w:val="single"/>
          <w:lang w:val="en-US" w:eastAsia="zh-CN"/>
        </w:rPr>
        <w:t xml:space="preserve">软件和信息技术服务</w:t>
      </w:r>
      <w:r>
        <w:rPr>
          <w:rFonts w:hint="eastAsia"/>
          <w:color w:val="auto"/>
          <w:position w:val="-2"/>
          <w:szCs w:val="21"/>
          <w:highlight w:val="none"/>
          <w:u w:val="single"/>
        </w:rPr>
        <w:t xml:space="preserve"> 行业</w:t>
      </w:r>
      <w:r>
        <w:rPr>
          <w:color w:val="auto"/>
          <w:position w:val="-2"/>
          <w:szCs w:val="21"/>
          <w:highlight w:val="none"/>
        </w:rPr>
        <w:t xml:space="preserve">；制造商（或工程</w:t>
      </w:r>
      <w:r>
        <w:rPr>
          <w:color w:val="auto"/>
          <w:spacing w:val="3"/>
          <w:szCs w:val="21"/>
          <w:highlight w:val="none"/>
        </w:rPr>
        <w:t xml:space="preserve">承建/</w:t>
      </w:r>
      <w:r>
        <w:rPr>
          <w:color w:val="auto"/>
          <w:position w:val="-2"/>
          <w:szCs w:val="21"/>
          <w:highlight w:val="none"/>
        </w:rPr>
        <w:t xml:space="preserve">服务</w:t>
      </w:r>
      <w:r>
        <w:rPr>
          <w:color w:val="auto"/>
          <w:spacing w:val="3"/>
          <w:szCs w:val="21"/>
          <w:highlight w:val="none"/>
        </w:rPr>
        <w:t xml:space="preserve">承接企业</w:t>
      </w:r>
      <w:r>
        <w:rPr>
          <w:color w:val="auto"/>
          <w:position w:val="-2"/>
          <w:szCs w:val="21"/>
          <w:highlight w:val="none"/>
        </w:rPr>
        <w:t xml:space="preserve">）为</w:t>
      </w:r>
      <w:r>
        <w:rPr>
          <w:i/>
          <w:color w:val="auto"/>
          <w:position w:val="-2"/>
          <w:szCs w:val="21"/>
          <w:highlight w:val="none"/>
          <w:u w:val="single"/>
        </w:rPr>
        <w:t xml:space="preserve">（企业名称）</w:t>
      </w:r>
      <w:r>
        <w:rPr>
          <w:color w:val="auto"/>
          <w:position w:val="-2"/>
          <w:szCs w:val="21"/>
          <w:highlight w:val="none"/>
        </w:rPr>
        <w:t xml:space="preserve">，从业人员</w:t>
      </w:r>
      <w:r>
        <w:rPr>
          <w:color w:val="auto"/>
          <w:position w:val="-2"/>
          <w:szCs w:val="21"/>
          <w:highlight w:val="none"/>
          <w:u w:val="single"/>
        </w:rPr>
        <w:t xml:space="preserve"> </w:t>
      </w:r>
      <w:r>
        <w:rPr>
          <w:color w:val="auto"/>
          <w:position w:val="-2"/>
          <w:szCs w:val="21"/>
          <w:highlight w:val="none"/>
          <w:u w:val="single"/>
        </w:rPr>
        <w:tab/>
      </w:r>
      <w:r>
        <w:rPr>
          <w:color w:val="auto"/>
          <w:position w:val="-2"/>
          <w:szCs w:val="21"/>
          <w:highlight w:val="none"/>
        </w:rPr>
        <w:t xml:space="preserve">人，营业收 入为</w:t>
      </w:r>
      <w:r>
        <w:rPr>
          <w:color w:val="auto"/>
          <w:position w:val="-2"/>
          <w:szCs w:val="21"/>
          <w:highlight w:val="none"/>
          <w:u w:val="single"/>
        </w:rPr>
        <w:t xml:space="preserve">   </w:t>
      </w:r>
      <w:r>
        <w:rPr>
          <w:color w:val="auto"/>
          <w:position w:val="-2"/>
          <w:szCs w:val="21"/>
          <w:highlight w:val="none"/>
        </w:rPr>
        <w:t xml:space="preserve">万元，资产总额为</w:t>
      </w:r>
      <w:r>
        <w:rPr>
          <w:color w:val="auto"/>
          <w:position w:val="-2"/>
          <w:szCs w:val="21"/>
          <w:highlight w:val="none"/>
          <w:u w:val="single"/>
        </w:rPr>
        <w:t xml:space="preserve"> </w:t>
      </w:r>
      <w:r>
        <w:rPr>
          <w:color w:val="auto"/>
          <w:position w:val="-2"/>
          <w:szCs w:val="21"/>
          <w:highlight w:val="none"/>
          <w:u w:val="single"/>
        </w:rPr>
        <w:tab/>
      </w:r>
      <w:r>
        <w:rPr>
          <w:color w:val="auto"/>
          <w:position w:val="-2"/>
          <w:szCs w:val="21"/>
          <w:highlight w:val="none"/>
        </w:rPr>
        <w:t xml:space="preserve">万元</w:t>
      </w:r>
      <w:r>
        <w:rPr>
          <w:color w:val="auto"/>
          <w:position w:val="-2"/>
          <w:szCs w:val="21"/>
          <w:highlight w:val="none"/>
          <w:vertAlign w:val="superscript"/>
        </w:rPr>
        <w:t xml:space="preserve">1</w:t>
      </w:r>
      <w:r>
        <w:rPr>
          <w:color w:val="auto"/>
          <w:position w:val="-2"/>
          <w:szCs w:val="21"/>
          <w:highlight w:val="none"/>
        </w:rPr>
        <w:t xml:space="preserve">，属于</w:t>
      </w:r>
      <w:r>
        <w:rPr>
          <w:i/>
          <w:color w:val="auto"/>
          <w:position w:val="-2"/>
          <w:szCs w:val="21"/>
          <w:highlight w:val="none"/>
          <w:u w:val="single"/>
        </w:rPr>
        <w:t xml:space="preserve">（中型企业、小型企业、微型企业）</w:t>
      </w:r>
      <w:r>
        <w:rPr>
          <w:color w:val="auto"/>
          <w:position w:val="-2"/>
          <w:szCs w:val="21"/>
          <w:highlight w:val="none"/>
        </w:rPr>
        <w:t xml:space="preserve">；</w:t>
      </w:r>
      <w:r/>
    </w:p>
    <w:p>
      <w:pPr>
        <w:ind w:right="-20" w:firstLine="420"/>
        <w:spacing w:line="360" w:lineRule="auto"/>
        <w:rPr>
          <w:color w:val="auto"/>
          <w:position w:val="-2"/>
          <w:szCs w:val="21"/>
          <w:highlight w:val="none"/>
        </w:rPr>
      </w:pPr>
      <w:r>
        <w:rPr>
          <w:color w:val="auto"/>
          <w:position w:val="-2"/>
          <w:szCs w:val="21"/>
          <w:highlight w:val="none"/>
        </w:rPr>
        <w:t xml:space="preserve">2. </w:t>
      </w:r>
      <w:r>
        <w:rPr>
          <w:i/>
          <w:color w:val="auto"/>
          <w:position w:val="-2"/>
          <w:szCs w:val="21"/>
          <w:highlight w:val="none"/>
          <w:u w:val="single"/>
        </w:rPr>
        <w:t xml:space="preserve">（标的名称）</w:t>
      </w:r>
      <w:r>
        <w:rPr>
          <w:color w:val="auto"/>
          <w:position w:val="-2"/>
          <w:szCs w:val="21"/>
          <w:highlight w:val="none"/>
        </w:rPr>
        <w:t xml:space="preserve">，属于</w:t>
      </w:r>
      <w:sdt>
        <w:sdtPr>
          <w15:appearance w15:val="boundingBox"/>
          <w:id w:val="-1606186870"/>
          <w:placeholder>
            <w:docPart w:val="B4F4AE2318D04AF3B31938FED6327D2A"/>
          </w:placeholder>
          <w:rPr>
            <w:color w:val="auto"/>
            <w:position w:val="-2"/>
            <w:szCs w:val="21"/>
            <w:highlight w:val="none"/>
            <w:u w:val="single"/>
          </w:rPr>
        </w:sdtPr>
        <w:sdtContent>
          <w:r>
            <w:rPr>
              <w:rFonts w:hint="eastAsia"/>
              <w:color w:val="auto"/>
              <w:position w:val="-2"/>
              <w:szCs w:val="21"/>
              <w:highlight w:val="none"/>
              <w:u w:val="single"/>
            </w:rPr>
            <w:t xml:space="preserve"> </w:t>
          </w:r>
          <w:r>
            <w:rPr>
              <w:rFonts w:hint="eastAsia"/>
              <w:color w:val="auto"/>
              <w:position w:val="-2"/>
              <w:szCs w:val="21"/>
              <w:highlight w:val="none"/>
              <w:u w:val="single"/>
              <w:lang w:val="en-US" w:eastAsia="zh-CN"/>
            </w:rPr>
            <w:t xml:space="preserve">软件和信息技术服务 </w:t>
          </w:r>
        </w:sdtContent>
      </w:sdt>
      <w:r>
        <w:rPr>
          <w:rFonts w:hint="eastAsia"/>
          <w:color w:val="auto"/>
          <w:position w:val="-2"/>
          <w:szCs w:val="21"/>
          <w:highlight w:val="none"/>
          <w:u w:val="single"/>
          <w:lang w:val="en-US" w:eastAsia="zh-CN"/>
        </w:rPr>
        <w:t xml:space="preserve">行业</w:t>
      </w:r>
      <w:r>
        <w:rPr>
          <w:color w:val="auto"/>
          <w:position w:val="-2"/>
          <w:szCs w:val="21"/>
          <w:highlight w:val="none"/>
        </w:rPr>
        <w:t xml:space="preserve">；制造商（或工程</w:t>
      </w:r>
      <w:r>
        <w:rPr>
          <w:color w:val="auto"/>
          <w:spacing w:val="3"/>
          <w:szCs w:val="21"/>
          <w:highlight w:val="none"/>
        </w:rPr>
        <w:t xml:space="preserve">承建/</w:t>
      </w:r>
      <w:r>
        <w:rPr>
          <w:color w:val="auto"/>
          <w:position w:val="-2"/>
          <w:szCs w:val="21"/>
          <w:highlight w:val="none"/>
        </w:rPr>
        <w:t xml:space="preserve">服务</w:t>
      </w:r>
      <w:r>
        <w:rPr>
          <w:color w:val="auto"/>
          <w:spacing w:val="3"/>
          <w:szCs w:val="21"/>
          <w:highlight w:val="none"/>
        </w:rPr>
        <w:t xml:space="preserve">承接企业</w:t>
      </w:r>
      <w:r>
        <w:rPr>
          <w:color w:val="auto"/>
          <w:position w:val="-2"/>
          <w:szCs w:val="21"/>
          <w:highlight w:val="none"/>
        </w:rPr>
        <w:t xml:space="preserve">）为</w:t>
      </w:r>
      <w:r>
        <w:rPr>
          <w:i/>
          <w:color w:val="auto"/>
          <w:position w:val="-2"/>
          <w:szCs w:val="21"/>
          <w:highlight w:val="none"/>
          <w:u w:val="single"/>
        </w:rPr>
        <w:t xml:space="preserve">（企业名称）</w:t>
      </w:r>
      <w:r>
        <w:rPr>
          <w:color w:val="auto"/>
          <w:position w:val="-2"/>
          <w:szCs w:val="21"/>
          <w:highlight w:val="none"/>
        </w:rPr>
        <w:t xml:space="preserve">，从业人员</w:t>
      </w:r>
      <w:r>
        <w:rPr>
          <w:color w:val="auto"/>
          <w:position w:val="-2"/>
          <w:szCs w:val="21"/>
          <w:highlight w:val="none"/>
          <w:u w:val="single"/>
        </w:rPr>
        <w:t xml:space="preserve"> </w:t>
      </w:r>
      <w:r>
        <w:rPr>
          <w:color w:val="auto"/>
          <w:position w:val="-2"/>
          <w:szCs w:val="21"/>
          <w:highlight w:val="none"/>
          <w:u w:val="single"/>
        </w:rPr>
        <w:tab/>
      </w:r>
      <w:r>
        <w:rPr>
          <w:color w:val="auto"/>
          <w:position w:val="-2"/>
          <w:szCs w:val="21"/>
          <w:highlight w:val="none"/>
        </w:rPr>
        <w:t xml:space="preserve">人，营业收入为</w:t>
      </w:r>
      <w:r>
        <w:rPr>
          <w:color w:val="auto"/>
          <w:position w:val="-2"/>
          <w:szCs w:val="21"/>
          <w:highlight w:val="none"/>
          <w:u w:val="single"/>
        </w:rPr>
        <w:t xml:space="preserve">    </w:t>
      </w:r>
      <w:r>
        <w:rPr>
          <w:color w:val="auto"/>
          <w:position w:val="-2"/>
          <w:szCs w:val="21"/>
          <w:highlight w:val="none"/>
        </w:rPr>
        <w:t xml:space="preserve">万元，资产总额为</w:t>
      </w:r>
      <w:r>
        <w:rPr>
          <w:color w:val="auto"/>
          <w:position w:val="-2"/>
          <w:szCs w:val="21"/>
          <w:highlight w:val="none"/>
          <w:u w:val="single"/>
        </w:rPr>
        <w:t xml:space="preserve"> </w:t>
      </w:r>
      <w:r>
        <w:rPr>
          <w:color w:val="auto"/>
          <w:position w:val="-2"/>
          <w:szCs w:val="21"/>
          <w:highlight w:val="none"/>
          <w:u w:val="single"/>
        </w:rPr>
        <w:tab/>
      </w:r>
      <w:r>
        <w:rPr>
          <w:color w:val="auto"/>
          <w:position w:val="-2"/>
          <w:szCs w:val="21"/>
          <w:highlight w:val="none"/>
        </w:rPr>
        <w:t xml:space="preserve">万元，属于</w:t>
      </w:r>
      <w:r>
        <w:rPr>
          <w:i/>
          <w:color w:val="auto"/>
          <w:position w:val="-2"/>
          <w:szCs w:val="21"/>
          <w:highlight w:val="none"/>
          <w:u w:val="single"/>
        </w:rPr>
        <w:t xml:space="preserve">（中型企业、小型企业、微型企业）</w:t>
      </w:r>
      <w:r>
        <w:rPr>
          <w:color w:val="auto"/>
          <w:position w:val="-2"/>
          <w:szCs w:val="21"/>
          <w:highlight w:val="none"/>
        </w:rPr>
        <w:t xml:space="preserve">；</w:t>
      </w:r>
      <w:r/>
    </w:p>
    <w:p>
      <w:pPr>
        <w:ind w:right="-20" w:firstLine="420"/>
        <w:spacing w:line="360" w:lineRule="auto"/>
        <w:rPr>
          <w:color w:val="auto"/>
          <w:position w:val="-2"/>
          <w:szCs w:val="21"/>
          <w:highlight w:val="none"/>
        </w:rPr>
      </w:pPr>
      <w:r>
        <w:rPr>
          <w:color w:val="auto"/>
          <w:position w:val="-2"/>
          <w:szCs w:val="21"/>
          <w:highlight w:val="none"/>
        </w:rPr>
        <w:t xml:space="preserve">…… </w:t>
      </w:r>
      <w:r/>
    </w:p>
    <w:p>
      <w:pPr>
        <w:ind w:right="-20" w:firstLine="420"/>
        <w:spacing w:line="360" w:lineRule="auto"/>
        <w:rPr>
          <w:color w:val="auto"/>
          <w:position w:val="-2"/>
          <w:szCs w:val="21"/>
          <w:highlight w:val="none"/>
        </w:rPr>
      </w:pPr>
      <w:r>
        <w:rPr>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color w:val="auto"/>
          <w:position w:val="-2"/>
          <w:szCs w:val="21"/>
          <w:highlight w:val="none"/>
        </w:rPr>
      </w:pPr>
      <w:r>
        <w:rPr>
          <w:color w:val="auto"/>
          <w:position w:val="-2"/>
          <w:szCs w:val="21"/>
          <w:highlight w:val="none"/>
        </w:rPr>
        <w:t xml:space="preserve">本企业对上述声明内容的真实性负责。如有虚假，将依法承担相应责任。</w:t>
      </w:r>
      <w:r/>
    </w:p>
    <w:p>
      <w:pPr>
        <w:ind w:right="400"/>
        <w:spacing w:line="360" w:lineRule="auto"/>
        <w:rPr>
          <w:color w:val="auto"/>
          <w:position w:val="-2"/>
          <w:szCs w:val="21"/>
          <w:highlight w:val="none"/>
        </w:rPr>
      </w:pPr>
      <w:r>
        <w:rPr>
          <w:color w:val="auto"/>
          <w:position w:val="-2"/>
          <w:szCs w:val="21"/>
          <w:highlight w:val="none"/>
        </w:rPr>
      </w:r>
      <w:r/>
    </w:p>
    <w:p>
      <w:pPr>
        <w:ind w:right="400" w:firstLine="3780"/>
        <w:spacing w:line="360" w:lineRule="auto"/>
        <w:rPr>
          <w:color w:val="auto"/>
          <w:szCs w:val="21"/>
          <w:highlight w:val="none"/>
          <w:u w:val="single"/>
        </w:rPr>
      </w:pPr>
      <w:r>
        <w:rPr>
          <w:color w:val="auto"/>
          <w:position w:val="-2"/>
          <w:szCs w:val="21"/>
          <w:highlight w:val="none"/>
        </w:rPr>
        <w:t xml:space="preserve">企</w:t>
      </w:r>
      <w:r>
        <w:rPr>
          <w:color w:val="auto"/>
          <w:spacing w:val="3"/>
          <w:position w:val="-2"/>
          <w:szCs w:val="21"/>
          <w:highlight w:val="none"/>
        </w:rPr>
        <w:t xml:space="preserve">业</w:t>
      </w:r>
      <w:r>
        <w:rPr>
          <w:color w:val="auto"/>
          <w:position w:val="-2"/>
          <w:szCs w:val="21"/>
          <w:highlight w:val="none"/>
        </w:rPr>
        <w:t xml:space="preserve">名称</w:t>
      </w:r>
      <w:r>
        <w:rPr>
          <w:color w:val="auto"/>
          <w:spacing w:val="3"/>
          <w:position w:val="-2"/>
          <w:szCs w:val="21"/>
          <w:highlight w:val="none"/>
        </w:rPr>
        <w:t xml:space="preserve">（</w:t>
      </w:r>
      <w:r>
        <w:rPr>
          <w:color w:val="auto"/>
          <w:position w:val="-2"/>
          <w:szCs w:val="21"/>
          <w:highlight w:val="none"/>
        </w:rPr>
        <w:t xml:space="preserve">盖章</w:t>
      </w:r>
      <w:r>
        <w:rPr>
          <w:color w:val="auto"/>
          <w:spacing w:val="-158"/>
          <w:position w:val="-2"/>
          <w:szCs w:val="21"/>
          <w:highlight w:val="none"/>
        </w:rPr>
        <w:t xml:space="preserve">）</w:t>
      </w:r>
      <w:r>
        <w:rPr>
          <w:color w:val="auto"/>
          <w:position w:val="-2"/>
          <w:szCs w:val="21"/>
          <w:highlight w:val="none"/>
        </w:rPr>
        <w:t xml:space="preserve">  ： </w:t>
      </w:r>
      <w:r>
        <w:rPr>
          <w:color w:val="auto"/>
          <w:position w:val="-2"/>
          <w:szCs w:val="21"/>
          <w:highlight w:val="none"/>
          <w:u w:val="single"/>
        </w:rPr>
        <w:t xml:space="preserve">           </w:t>
      </w:r>
      <w:r/>
    </w:p>
    <w:p>
      <w:pPr>
        <w:ind w:right="420" w:firstLine="3780"/>
        <w:spacing w:line="360" w:lineRule="auto"/>
        <w:rPr>
          <w:color w:val="auto"/>
          <w:szCs w:val="21"/>
          <w:highlight w:val="none"/>
        </w:rPr>
      </w:pPr>
      <w:r>
        <w:rPr>
          <w:color w:val="auto"/>
          <w:szCs w:val="21"/>
          <w:highlight w:val="none"/>
        </w:rPr>
        <w:t xml:space="preserve">日期：</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ind w:right="420" w:firstLine="4200"/>
        <w:jc w:val="center"/>
        <w:spacing w:line="360" w:lineRule="auto"/>
        <w:rPr>
          <w:color w:val="auto"/>
          <w:szCs w:val="21"/>
          <w:highlight w:val="none"/>
        </w:rPr>
      </w:pPr>
      <w:r>
        <w:rPr>
          <w:color w:val="auto"/>
          <w:szCs w:val="21"/>
          <w:highlight w:val="none"/>
        </w:rPr>
      </w:r>
      <w:r/>
    </w:p>
    <w:p>
      <w:pPr>
        <w:ind w:right="-20"/>
        <w:spacing w:line="360" w:lineRule="auto"/>
        <w:rPr>
          <w:color w:val="auto"/>
          <w:position w:val="-2"/>
          <w:szCs w:val="21"/>
          <w:highlight w:val="none"/>
        </w:rPr>
      </w:pPr>
      <w:r>
        <w:rPr>
          <w:color w:val="auto"/>
          <w:position w:val="-2"/>
          <w:szCs w:val="21"/>
          <w:highlight w:val="none"/>
          <w:vertAlign w:val="superscript"/>
        </w:rPr>
        <w:t xml:space="preserve">1</w:t>
      </w:r>
      <w:r>
        <w:rPr>
          <w:color w:val="auto"/>
          <w:position w:val="-2"/>
          <w:szCs w:val="21"/>
          <w:highlight w:val="none"/>
        </w:rPr>
        <w:t xml:space="preserve">从业人员、营业收入、资产总额填报上一年度数据，无上一年度数据的新成立企业可不填报。</w:t>
      </w:r>
      <w:r/>
    </w:p>
    <w:p>
      <w:pPr>
        <w:ind w:firstLine="426"/>
        <w:rPr>
          <w:b/>
          <w:color w:val="auto"/>
          <w:szCs w:val="21"/>
          <w:highlight w:val="none"/>
        </w:rPr>
      </w:pPr>
      <w:r>
        <w:rPr>
          <w:b/>
          <w:color w:val="auto"/>
          <w:szCs w:val="21"/>
          <w:highlight w:val="none"/>
        </w:rPr>
        <w:t xml:space="preserve">注：</w:t>
      </w:r>
      <w:r/>
    </w:p>
    <w:p>
      <w:pPr>
        <w:ind w:firstLine="426"/>
        <w:rPr>
          <w:b/>
          <w:color w:val="auto"/>
          <w:szCs w:val="21"/>
          <w:highlight w:val="none"/>
        </w:rPr>
      </w:pPr>
      <w:r>
        <w:rPr>
          <w:b/>
          <w:color w:val="auto"/>
          <w:szCs w:val="21"/>
          <w:highlight w:val="none"/>
        </w:rPr>
        <w:t xml:space="preserve">1. 填写前请认真阅读《工业和信息化部　国家统计局　国家发展和改革委员会　财政部关于印发中小企业划型标准规定的通知》(工信部联企业〔2011〕300号)和《财政部、</w:t>
      </w:r>
      <w:bookmarkStart w:id="445" w:name="_GoBack"/>
      <w:r>
        <w:rPr>
          <w:b/>
          <w:color w:val="auto"/>
          <w:szCs w:val="21"/>
          <w:highlight w:val="none"/>
        </w:rPr>
        <w:t xml:space="preserve">工业</w:t>
      </w:r>
      <w:bookmarkEnd w:id="445"/>
      <w:r>
        <w:rPr>
          <w:b/>
          <w:color w:val="auto"/>
          <w:szCs w:val="21"/>
          <w:highlight w:val="none"/>
        </w:rPr>
        <w:t xml:space="preserve">和信息化部关于印发《政府采购促进中小企业发展管理办法》的通知》(财库〔2020〕46号)相关规定。</w:t>
      </w:r>
      <w:r/>
    </w:p>
    <w:p>
      <w:pPr>
        <w:pStyle w:val="886"/>
        <w:ind w:left="0" w:firstLine="487"/>
        <w:jc w:val="center"/>
        <w:rPr>
          <w:rFonts w:ascii="Times New Roman"/>
          <w:b w:val="0"/>
          <w:color w:val="auto"/>
          <w:szCs w:val="24"/>
          <w:highlight w:val="none"/>
        </w:rPr>
      </w:pPr>
      <w:r>
        <w:rPr>
          <w:rFonts w:ascii="Times New Roman"/>
          <w:color w:val="auto"/>
          <w:highlight w:val="none"/>
        </w:rPr>
        <w:br w:type="page" w:clear="all"/>
      </w:r>
      <w:r>
        <w:rPr>
          <w:rFonts w:ascii="Times New Roman"/>
          <w:color w:val="auto"/>
          <w:szCs w:val="24"/>
          <w:highlight w:val="none"/>
        </w:rPr>
        <w:t xml:space="preserve">监狱企业证明</w:t>
      </w:r>
      <w:r/>
    </w:p>
    <w:p>
      <w:pPr>
        <w:pStyle w:val="1108"/>
        <w:ind w:firstLine="482"/>
        <w:jc w:val="center"/>
        <w:spacing w:line="276"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08"/>
        <w:ind w:firstLine="400"/>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pStyle w:val="1108"/>
        <w:ind w:firstLine="198"/>
        <w:jc w:val="center"/>
        <w:rPr>
          <w:rFonts w:ascii="Times New Roman" w:hAnsi="Times New Roman"/>
          <w:b/>
          <w:color w:val="auto"/>
          <w:sz w:val="24"/>
          <w:szCs w:val="24"/>
          <w:highlight w:val="none"/>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残疾人福利性单位声明函</w:t>
      </w:r>
      <w:r/>
    </w:p>
    <w:p>
      <w:pPr>
        <w:ind w:firstLine="633"/>
        <w:spacing w:line="276" w:lineRule="auto"/>
        <w:rPr>
          <w:b/>
          <w:color w:val="auto"/>
          <w:spacing w:val="6"/>
          <w:sz w:val="30"/>
          <w:szCs w:val="30"/>
          <w:highlight w:val="none"/>
        </w:rPr>
      </w:pPr>
      <w:r>
        <w:rPr>
          <w:b/>
          <w:color w:val="auto"/>
          <w:spacing w:val="6"/>
          <w:sz w:val="30"/>
          <w:szCs w:val="30"/>
          <w:highlight w:val="none"/>
        </w:rPr>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本单位对上述声明的真实性负责。如有虚假，将依法承担相应责任。</w:t>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firstLine="420"/>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1108"/>
        <w:ind w:firstLine="3769"/>
        <w:rPr>
          <w:rFonts w:ascii="Times New Roman" w:hAnsi="Times New Roman"/>
          <w:color w:val="auto"/>
          <w:sz w:val="21"/>
          <w:szCs w:val="21"/>
          <w:highlight w:val="none"/>
        </w:rPr>
      </w:pPr>
      <w:r>
        <w:rPr>
          <w:rFonts w:ascii="Times New Roman" w:hAnsi="Times New Roman"/>
          <w:color w:val="auto"/>
          <w:sz w:val="21"/>
          <w:szCs w:val="21"/>
          <w:highlight w:val="none"/>
        </w:rPr>
        <w:t xml:space="preserve">单位名称（盖章）：____________</w:t>
      </w:r>
      <w:r/>
    </w:p>
    <w:p>
      <w:pPr>
        <w:ind w:firstLine="3780"/>
        <w:jc w:val="left"/>
        <w:spacing w:line="360" w:lineRule="auto"/>
        <w:rPr>
          <w:bCs/>
          <w:color w:val="auto"/>
          <w:szCs w:val="21"/>
          <w:highlight w:val="none"/>
        </w:rPr>
      </w:pPr>
      <w:r>
        <w:rPr>
          <w:bCs/>
          <w:color w:val="auto"/>
          <w:szCs w:val="21"/>
          <w:highlight w:val="none"/>
        </w:rPr>
        <w:t xml:space="preserve">日期：</w:t>
      </w:r>
      <w:r>
        <w:rPr>
          <w:bCs/>
          <w:color w:val="auto"/>
          <w:szCs w:val="21"/>
          <w:highlight w:val="none"/>
          <w:u w:val="single"/>
        </w:rPr>
        <w:tab/>
      </w:r>
      <w:r>
        <w:rPr>
          <w:bCs/>
          <w:color w:val="auto"/>
          <w:szCs w:val="21"/>
          <w:highlight w:val="none"/>
          <w:u w:val="single"/>
        </w:rPr>
        <w:t xml:space="preserve">     </w:t>
      </w:r>
      <w:r>
        <w:rPr>
          <w:bCs/>
          <w:color w:val="auto"/>
          <w:szCs w:val="21"/>
          <w:highlight w:val="none"/>
        </w:rPr>
        <w:t xml:space="preserve">年</w:t>
      </w:r>
      <w:r>
        <w:rPr>
          <w:bCs/>
          <w:color w:val="auto"/>
          <w:szCs w:val="21"/>
          <w:highlight w:val="none"/>
          <w:u w:val="single"/>
        </w:rPr>
        <w:t xml:space="preserve"> </w:t>
      </w:r>
      <w:r>
        <w:rPr>
          <w:bCs/>
          <w:color w:val="auto"/>
          <w:szCs w:val="21"/>
          <w:highlight w:val="none"/>
          <w:u w:val="single"/>
        </w:rPr>
        <w:tab/>
      </w:r>
      <w:r>
        <w:rPr>
          <w:bCs/>
          <w:color w:val="auto"/>
          <w:szCs w:val="21"/>
          <w:highlight w:val="none"/>
        </w:rPr>
        <w:t xml:space="preserve">月</w:t>
      </w:r>
      <w:r>
        <w:rPr>
          <w:bCs/>
          <w:color w:val="auto"/>
          <w:szCs w:val="21"/>
          <w:highlight w:val="none"/>
          <w:u w:val="single"/>
        </w:rPr>
        <w:t xml:space="preserve">   </w:t>
      </w:r>
      <w:r>
        <w:rPr>
          <w:bCs/>
          <w:color w:val="auto"/>
          <w:szCs w:val="21"/>
          <w:highlight w:val="none"/>
          <w:u w:val="single"/>
        </w:rPr>
        <w:tab/>
      </w:r>
      <w:r>
        <w:rPr>
          <w:bCs/>
          <w:color w:val="auto"/>
          <w:szCs w:val="21"/>
          <w:highlight w:val="none"/>
        </w:rPr>
        <w:t xml:space="preserve">日</w:t>
      </w:r>
      <w:bookmarkEnd w:id="431"/>
      <w:r/>
      <w:r/>
    </w:p>
    <w:p>
      <w:pPr>
        <w:pStyle w:val="1108"/>
        <w:ind w:firstLine="164"/>
        <w:jc w:val="center"/>
        <w:rPr>
          <w:rFonts w:ascii="Times New Roman" w:hAnsi="Times New Roman"/>
          <w:color w:val="auto"/>
          <w:szCs w:val="21"/>
          <w:highlight w:val="none"/>
        </w:rPr>
      </w:pPr>
      <w:r>
        <w:rPr>
          <w:rFonts w:ascii="Times New Roman" w:hAnsi="Times New Roman"/>
          <w:color w:val="auto"/>
          <w:szCs w:val="21"/>
          <w:highlight w:val="none"/>
        </w:rPr>
        <w:t xml:space="preserve"> </w:t>
      </w:r>
      <w:r/>
    </w:p>
    <w:p>
      <w:pPr>
        <w:ind w:right="420" w:firstLine="3780"/>
        <w:spacing w:line="360" w:lineRule="auto"/>
        <w:rPr>
          <w:color w:val="auto"/>
          <w:szCs w:val="21"/>
          <w:highlight w:val="none"/>
        </w:rPr>
      </w:pPr>
      <w:r>
        <w:rPr>
          <w:color w:val="auto"/>
          <w:szCs w:val="21"/>
          <w:highlight w:val="none"/>
        </w:rPr>
      </w:r>
      <w:r/>
    </w:p>
    <w:sectPr>
      <w:footnotePr/>
      <w:endnotePr/>
      <w:type w:val="nextPage"/>
      <w:pgSz w:w="11906" w:h="16838" w:orient="portrait"/>
      <w:pgMar w:top="1440" w:right="1278" w:bottom="1440" w:left="1588" w:header="851"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4"/>
      <w:jc w:val="center"/>
      <w:spacing w:before="120" w:after="120"/>
    </w:pPr>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4"/>
      <w:jc w:val="center"/>
      <w:spacing w:before="120"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4"/>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4"/>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894"/>
          <w:ind w:firstLine="364"/>
          <w:jc w:val="center"/>
          <w:spacing w:before="120" w:after="120"/>
        </w:pPr>
        <w:r>
          <w:fldChar w:fldCharType="begin"/>
        </w:r>
        <w:r>
          <w:instrText xml:space="preserve">PAGE   \* MERGEFORMAT</w:instrText>
        </w:r>
        <w:r>
          <w:fldChar w:fldCharType="separate"/>
        </w:r>
        <w:r>
          <w:rPr>
            <w:lang w:val="zh-CN"/>
          </w:rPr>
          <w:t xml:space="preserve">70</w:t>
        </w:r>
        <w:r>
          <w:fldChar w:fldCharType="end"/>
        </w:r>
        <w:r/>
      </w:p>
    </w:sdtContent>
  </w:sdt>
  <w:p>
    <w:pPr>
      <w:pStyle w:val="894"/>
      <w:ind w:firstLine="364"/>
      <w:spacing w:before="120" w:after="120"/>
    </w:pPr>
    <w:r/>
    <w:r/>
  </w:p>
  <w:p>
    <w:pPr>
      <w:pStyle w:val="894"/>
      <w:ind w:firstLine="364"/>
      <w:spacing w:before="120" w:after="1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4"/>
      <w:spacing w:before="120" w:after="120"/>
      <w:rPr>
        <w:rStyle w:val="911"/>
      </w:rPr>
      <w:framePr w:wrap="around" w:vAnchor="text" w:hAnchor="margin" w:xAlign="outside" w:y="1"/>
    </w:pPr>
    <w:r>
      <w:rPr>
        <w:rStyle w:val="911"/>
      </w:rPr>
      <w:fldChar w:fldCharType="begin"/>
    </w:r>
    <w:r>
      <w:rPr>
        <w:rStyle w:val="911"/>
      </w:rPr>
      <w:instrText xml:space="preserve">PAGE  </w:instrText>
    </w:r>
    <w:r>
      <w:rPr>
        <w:rStyle w:val="911"/>
      </w:rPr>
      <w:fldChar w:fldCharType="end"/>
    </w:r>
    <w:r/>
  </w:p>
  <w:p>
    <w:pPr>
      <w:pStyle w:val="894"/>
      <w:ind w:right="360" w:firstLine="364"/>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364"/>
      <w:spacing w:before="120" w:after="12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-241300</wp:posOffset>
              </wp:positionH>
              <wp:positionV relativeFrom="paragraph">
                <wp:posOffset>-95250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19.0pt;mso-position-horizontal:absolute;mso-position-vertical-relative:text;margin-top:-7.5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95"/>
      <w:ind w:firstLine="444"/>
      <w:spacing w:before="120" w:after="120"/>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苏州城市学院数字经济与管理学院专业实验平台项目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5 Char"/>
    <w:basedOn w:val="876"/>
    <w:link w:val="871"/>
    <w:uiPriority w:val="9"/>
    <w:rPr>
      <w:rFonts w:ascii="Arial" w:hAnsi="Arial" w:eastAsia="Arial" w:cs="Arial"/>
      <w:b/>
      <w:bCs/>
      <w:sz w:val="24"/>
      <w:szCs w:val="24"/>
    </w:rPr>
  </w:style>
  <w:style w:type="character" w:styleId="837">
    <w:name w:val="Heading 7 Char"/>
    <w:basedOn w:val="876"/>
    <w:link w:val="873"/>
    <w:uiPriority w:val="9"/>
    <w:rPr>
      <w:rFonts w:ascii="Arial" w:hAnsi="Arial" w:eastAsia="Arial" w:cs="Arial"/>
      <w:b/>
      <w:bCs/>
      <w:i/>
      <w:iCs/>
      <w:sz w:val="22"/>
      <w:szCs w:val="22"/>
    </w:rPr>
  </w:style>
  <w:style w:type="character" w:styleId="838">
    <w:name w:val="Heading 9 Char"/>
    <w:basedOn w:val="876"/>
    <w:link w:val="875"/>
    <w:uiPriority w:val="9"/>
    <w:rPr>
      <w:rFonts w:ascii="Arial" w:hAnsi="Arial" w:eastAsia="Arial" w:cs="Arial"/>
      <w:i/>
      <w:iCs/>
      <w:sz w:val="21"/>
      <w:szCs w:val="21"/>
    </w:rPr>
  </w:style>
  <w:style w:type="paragraph" w:styleId="839">
    <w:name w:val="List Paragraph"/>
    <w:basedOn w:val="866"/>
    <w:uiPriority w:val="34"/>
    <w:qFormat/>
    <w:pPr>
      <w:contextualSpacing/>
      <w:ind w:left="720"/>
    </w:pPr>
  </w:style>
  <w:style w:type="paragraph" w:styleId="840">
    <w:name w:val="No Spacing"/>
    <w:uiPriority w:val="1"/>
    <w:qFormat/>
    <w:pPr>
      <w:spacing w:before="0" w:after="0" w:line="240" w:lineRule="auto"/>
    </w:pPr>
  </w:style>
  <w:style w:type="character" w:styleId="841">
    <w:name w:val="Subtitle Char"/>
    <w:basedOn w:val="876"/>
    <w:link w:val="898"/>
    <w:uiPriority w:val="11"/>
    <w:rPr>
      <w:sz w:val="24"/>
      <w:szCs w:val="24"/>
    </w:rPr>
  </w:style>
  <w:style w:type="paragraph" w:styleId="842">
    <w:name w:val="Quote"/>
    <w:basedOn w:val="866"/>
    <w:next w:val="866"/>
    <w:link w:val="928"/>
    <w:uiPriority w:val="29"/>
    <w:qFormat/>
    <w:pPr>
      <w:ind w:left="720" w:right="720"/>
    </w:pPr>
    <w:rPr>
      <w:i/>
    </w:rPr>
  </w:style>
  <w:style w:type="paragraph" w:styleId="843">
    <w:name w:val="Intense Quote"/>
    <w:basedOn w:val="866"/>
    <w:next w:val="866"/>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44">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3">
    <w:name w:val="Footnote Text Char"/>
    <w:link w:val="899"/>
    <w:uiPriority w:val="99"/>
    <w:rPr>
      <w:sz w:val="18"/>
    </w:rPr>
  </w:style>
  <w:style w:type="character" w:styleId="864">
    <w:name w:val="Endnote Text Char"/>
    <w:link w:val="892"/>
    <w:uiPriority w:val="99"/>
    <w:rPr>
      <w:sz w:val="20"/>
    </w:rPr>
  </w:style>
  <w:style w:type="paragraph" w:styleId="865">
    <w:name w:val="TOC Heading"/>
    <w:uiPriority w:val="39"/>
    <w:unhideWhenUsed/>
  </w:style>
  <w:style w:type="paragraph" w:styleId="8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7">
    <w:name w:val="Heading 1"/>
    <w:basedOn w:val="866"/>
    <w:next w:val="866"/>
    <w:link w:val="1063"/>
    <w:uiPriority w:val="0"/>
    <w:qFormat/>
    <w:pPr>
      <w:ind w:left="100" w:right="100"/>
      <w:keepLines/>
      <w:keepNext/>
      <w:spacing w:before="120" w:after="120"/>
      <w:outlineLvl w:val="0"/>
    </w:pPr>
    <w:rPr>
      <w:b/>
      <w:bCs/>
      <w:szCs w:val="44"/>
    </w:rPr>
  </w:style>
  <w:style w:type="paragraph" w:styleId="868">
    <w:name w:val="Heading 2"/>
    <w:basedOn w:val="866"/>
    <w:next w:val="866"/>
    <w:link w:val="1064"/>
    <w:uiPriority w:val="0"/>
    <w:qFormat/>
    <w:pPr>
      <w:keepLines/>
      <w:keepNext/>
      <w:spacing w:before="260" w:after="260" w:line="416" w:lineRule="auto"/>
      <w:outlineLvl w:val="1"/>
    </w:pPr>
    <w:rPr>
      <w:rFonts w:ascii="等线 Light" w:hAnsi="等线 Light" w:eastAsia="等线 Light"/>
      <w:b/>
      <w:bCs/>
      <w:sz w:val="32"/>
      <w:szCs w:val="32"/>
    </w:rPr>
  </w:style>
  <w:style w:type="paragraph" w:styleId="869">
    <w:name w:val="Heading 3"/>
    <w:basedOn w:val="866"/>
    <w:next w:val="866"/>
    <w:link w:val="1065"/>
    <w:uiPriority w:val="9"/>
    <w:qFormat/>
    <w:pPr>
      <w:keepLines/>
      <w:keepNext/>
      <w:spacing w:before="260" w:after="260" w:line="416" w:lineRule="auto"/>
      <w:outlineLvl w:val="2"/>
    </w:pPr>
    <w:rPr>
      <w:b/>
      <w:bCs/>
      <w:sz w:val="32"/>
      <w:szCs w:val="32"/>
    </w:rPr>
  </w:style>
  <w:style w:type="paragraph" w:styleId="870">
    <w:name w:val="Heading 4"/>
    <w:basedOn w:val="866"/>
    <w:next w:val="866"/>
    <w:link w:val="1066"/>
    <w:uiPriority w:val="0"/>
    <w:qFormat/>
    <w:pPr>
      <w:keepLines/>
      <w:keepNext/>
      <w:spacing w:before="280" w:after="290" w:line="376" w:lineRule="auto"/>
      <w:outlineLvl w:val="3"/>
    </w:pPr>
    <w:rPr>
      <w:rFonts w:ascii="等线 Light" w:hAnsi="等线 Light" w:eastAsia="等线 Light"/>
      <w:b/>
      <w:bCs/>
      <w:sz w:val="28"/>
      <w:szCs w:val="28"/>
    </w:rPr>
  </w:style>
  <w:style w:type="paragraph" w:styleId="871">
    <w:name w:val="Heading 5"/>
    <w:basedOn w:val="866"/>
    <w:next w:val="866"/>
    <w:link w:val="920"/>
    <w:uiPriority w:val="9"/>
    <w:unhideWhenUsed/>
    <w:qFormat/>
    <w:pPr>
      <w:keepLines/>
      <w:keepNext/>
      <w:spacing w:before="320" w:after="200"/>
      <w:outlineLvl w:val="4"/>
    </w:pPr>
    <w:rPr>
      <w:rFonts w:ascii="Arial" w:hAnsi="Arial" w:eastAsia="Arial" w:cs="Arial"/>
      <w:b/>
      <w:bCs/>
      <w:sz w:val="24"/>
    </w:rPr>
  </w:style>
  <w:style w:type="paragraph" w:styleId="872">
    <w:name w:val="Heading 6"/>
    <w:basedOn w:val="866"/>
    <w:next w:val="866"/>
    <w:link w:val="1067"/>
    <w:uiPriority w:val="0"/>
    <w:qFormat/>
    <w:pPr>
      <w:keepLines/>
      <w:keepNext/>
      <w:spacing w:before="240" w:after="64" w:line="320" w:lineRule="auto"/>
      <w:outlineLvl w:val="5"/>
    </w:pPr>
    <w:rPr>
      <w:rFonts w:ascii="等线 Light" w:hAnsi="等线 Light" w:eastAsia="等线 Light"/>
      <w:b/>
      <w:bCs/>
      <w:sz w:val="24"/>
    </w:rPr>
  </w:style>
  <w:style w:type="paragraph" w:styleId="873">
    <w:name w:val="Heading 7"/>
    <w:basedOn w:val="866"/>
    <w:next w:val="866"/>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1068"/>
    <w:uiPriority w:val="0"/>
    <w:qFormat/>
    <w:pPr>
      <w:keepLines/>
      <w:keepNext/>
      <w:spacing w:before="240" w:after="64" w:line="320" w:lineRule="auto"/>
      <w:outlineLvl w:val="7"/>
    </w:pPr>
    <w:rPr>
      <w:rFonts w:ascii="等线 Light" w:hAnsi="等线 Light" w:eastAsia="等线 Light"/>
      <w:sz w:val="24"/>
    </w:rPr>
  </w:style>
  <w:style w:type="paragraph" w:styleId="875">
    <w:name w:val="Heading 9"/>
    <w:basedOn w:val="866"/>
    <w:next w:val="866"/>
    <w:link w:val="924"/>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List 3"/>
    <w:basedOn w:val="866"/>
    <w:uiPriority w:val="0"/>
    <w:qFormat/>
    <w:pPr>
      <w:contextualSpacing/>
      <w:ind w:left="100" w:hanging="200"/>
      <w:jc w:val="left"/>
      <w:widowControl/>
    </w:pPr>
    <w:rPr>
      <w:sz w:val="20"/>
      <w:szCs w:val="20"/>
    </w:rPr>
  </w:style>
  <w:style w:type="paragraph" w:styleId="879">
    <w:name w:val="toc 7"/>
    <w:basedOn w:val="866"/>
    <w:next w:val="866"/>
    <w:uiPriority w:val="39"/>
    <w:unhideWhenUsed/>
    <w:qFormat/>
    <w:pPr>
      <w:ind w:left="2520"/>
    </w:pPr>
    <w:rPr>
      <w:rFonts w:asciiTheme="minorHAnsi" w:hAnsiTheme="minorHAnsi" w:eastAsiaTheme="minorEastAsia" w:cstheme="minorBidi"/>
      <w:szCs w:val="22"/>
    </w:rPr>
  </w:style>
  <w:style w:type="paragraph" w:styleId="880">
    <w:name w:val="Normal Indent"/>
    <w:basedOn w:val="866"/>
    <w:link w:val="1070"/>
    <w:uiPriority w:val="99"/>
    <w:qFormat/>
    <w:pPr>
      <w:ind w:firstLine="420"/>
    </w:pPr>
    <w:rPr>
      <w:szCs w:val="20"/>
    </w:rPr>
  </w:style>
  <w:style w:type="paragraph" w:styleId="881">
    <w:name w:val="Caption"/>
    <w:basedOn w:val="866"/>
    <w:next w:val="866"/>
    <w:uiPriority w:val="35"/>
    <w:unhideWhenUsed/>
    <w:qFormat/>
    <w:pPr>
      <w:spacing w:line="276" w:lineRule="auto"/>
    </w:pPr>
    <w:rPr>
      <w:b/>
      <w:bCs/>
      <w:color w:val="4472c4" w:themeColor="accent1"/>
      <w:sz w:val="18"/>
      <w:szCs w:val="18"/>
      <w14:textFill>
        <w14:solidFill>
          <w14:schemeClr w14:val="accent1"/>
        </w14:solidFill>
      </w14:textFill>
    </w:rPr>
  </w:style>
  <w:style w:type="paragraph" w:styleId="882">
    <w:name w:val="Document Map"/>
    <w:basedOn w:val="866"/>
    <w:link w:val="1071"/>
    <w:uiPriority w:val="0"/>
    <w:qFormat/>
    <w:pPr>
      <w:shd w:val="clear" w:color="auto" w:fill="000080"/>
    </w:pPr>
  </w:style>
  <w:style w:type="paragraph" w:styleId="883">
    <w:name w:val="annotation text"/>
    <w:basedOn w:val="866"/>
    <w:link w:val="1072"/>
    <w:uiPriority w:val="0"/>
    <w:qFormat/>
    <w:pPr>
      <w:jc w:val="left"/>
    </w:pPr>
  </w:style>
  <w:style w:type="paragraph" w:styleId="884">
    <w:name w:val="Body Text"/>
    <w:basedOn w:val="866"/>
    <w:link w:val="1073"/>
    <w:uiPriority w:val="1"/>
    <w:qFormat/>
    <w:pPr>
      <w:spacing w:after="120"/>
    </w:pPr>
  </w:style>
  <w:style w:type="paragraph" w:styleId="885">
    <w:name w:val="Body Text Indent"/>
    <w:basedOn w:val="866"/>
    <w:uiPriority w:val="0"/>
    <w:qFormat/>
    <w:pPr>
      <w:ind w:left="420"/>
      <w:spacing w:after="120"/>
    </w:pPr>
  </w:style>
  <w:style w:type="paragraph" w:styleId="886">
    <w:name w:val="index 4"/>
    <w:basedOn w:val="866"/>
    <w:next w:val="866"/>
    <w:uiPriority w:val="99"/>
    <w:unhideWhenUsed/>
    <w:qFormat/>
    <w:pPr>
      <w:ind w:left="600"/>
    </w:pPr>
    <w:rPr>
      <w:rFonts w:ascii="宋体"/>
      <w:b/>
      <w:position w:val="-10"/>
      <w:sz w:val="24"/>
      <w:szCs w:val="20"/>
    </w:rPr>
  </w:style>
  <w:style w:type="paragraph" w:styleId="887">
    <w:name w:val="toc 5"/>
    <w:basedOn w:val="866"/>
    <w:next w:val="866"/>
    <w:uiPriority w:val="39"/>
    <w:unhideWhenUsed/>
    <w:qFormat/>
    <w:pPr>
      <w:ind w:left="1680"/>
    </w:pPr>
    <w:rPr>
      <w:rFonts w:asciiTheme="minorHAnsi" w:hAnsiTheme="minorHAnsi" w:eastAsiaTheme="minorEastAsia" w:cstheme="minorBidi"/>
      <w:szCs w:val="22"/>
    </w:rPr>
  </w:style>
  <w:style w:type="paragraph" w:styleId="888">
    <w:name w:val="toc 3"/>
    <w:basedOn w:val="866"/>
    <w:next w:val="866"/>
    <w:uiPriority w:val="39"/>
    <w:unhideWhenUsed/>
    <w:qFormat/>
    <w:pPr>
      <w:ind w:left="440"/>
      <w:jc w:val="left"/>
      <w:spacing w:after="100" w:line="259" w:lineRule="auto"/>
      <w:widowControl/>
    </w:pPr>
    <w:rPr>
      <w:rFonts w:asciiTheme="minorHAnsi" w:hAnsiTheme="minorHAnsi" w:eastAsiaTheme="minorEastAsia"/>
      <w:sz w:val="22"/>
      <w:szCs w:val="22"/>
    </w:rPr>
  </w:style>
  <w:style w:type="paragraph" w:styleId="889">
    <w:name w:val="Plain Text"/>
    <w:basedOn w:val="866"/>
    <w:link w:val="1076"/>
    <w:uiPriority w:val="0"/>
    <w:qFormat/>
    <w:rPr>
      <w:rFonts w:ascii="宋体" w:hAnsi="Courier New" w:cs="Courier New"/>
      <w:szCs w:val="21"/>
    </w:rPr>
  </w:style>
  <w:style w:type="paragraph" w:styleId="890">
    <w:name w:val="toc 8"/>
    <w:basedOn w:val="866"/>
    <w:next w:val="866"/>
    <w:uiPriority w:val="39"/>
    <w:unhideWhenUsed/>
    <w:qFormat/>
    <w:pPr>
      <w:ind w:left="2940"/>
    </w:pPr>
    <w:rPr>
      <w:rFonts w:asciiTheme="minorHAnsi" w:hAnsiTheme="minorHAnsi" w:eastAsiaTheme="minorEastAsia" w:cstheme="minorBidi"/>
      <w:szCs w:val="22"/>
    </w:rPr>
  </w:style>
  <w:style w:type="paragraph" w:styleId="891">
    <w:name w:val="Date"/>
    <w:basedOn w:val="866"/>
    <w:next w:val="866"/>
    <w:link w:val="1078"/>
    <w:uiPriority w:val="0"/>
    <w:qFormat/>
    <w:rPr>
      <w:sz w:val="24"/>
      <w:szCs w:val="20"/>
    </w:rPr>
  </w:style>
  <w:style w:type="paragraph" w:styleId="892">
    <w:name w:val="endnote text"/>
    <w:basedOn w:val="866"/>
    <w:link w:val="1060"/>
    <w:uiPriority w:val="99"/>
    <w:unhideWhenUsed/>
    <w:qFormat/>
    <w:rPr>
      <w:sz w:val="20"/>
    </w:rPr>
  </w:style>
  <w:style w:type="paragraph" w:styleId="893">
    <w:name w:val="Balloon Text"/>
    <w:basedOn w:val="866"/>
    <w:link w:val="1079"/>
    <w:uiPriority w:val="0"/>
    <w:qFormat/>
    <w:rPr>
      <w:sz w:val="18"/>
      <w:szCs w:val="18"/>
    </w:rPr>
  </w:style>
  <w:style w:type="paragraph" w:styleId="894">
    <w:name w:val="Footer"/>
    <w:basedOn w:val="866"/>
    <w:link w:val="1080"/>
    <w:uiPriority w:val="99"/>
    <w:qFormat/>
    <w:pPr>
      <w:jc w:val="left"/>
      <w:tabs>
        <w:tab w:val="center" w:pos="4153" w:leader="none"/>
        <w:tab w:val="right" w:pos="8306" w:leader="none"/>
      </w:tabs>
    </w:pPr>
    <w:rPr>
      <w:sz w:val="18"/>
      <w:szCs w:val="18"/>
    </w:rPr>
  </w:style>
  <w:style w:type="paragraph" w:styleId="895">
    <w:name w:val="Header"/>
    <w:basedOn w:val="866"/>
    <w:link w:val="1081"/>
    <w:uiPriority w:val="99"/>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66"/>
    <w:next w:val="866"/>
    <w:uiPriority w:val="39"/>
    <w:unhideWhenUsed/>
    <w:qFormat/>
    <w:pPr>
      <w:jc w:val="left"/>
      <w:spacing w:after="100" w:line="259" w:lineRule="auto"/>
      <w:widowControl/>
    </w:pPr>
    <w:rPr>
      <w:rFonts w:asciiTheme="minorHAnsi" w:hAnsiTheme="minorHAnsi" w:eastAsiaTheme="minorEastAsia"/>
      <w:sz w:val="22"/>
      <w:szCs w:val="22"/>
    </w:rPr>
  </w:style>
  <w:style w:type="paragraph" w:styleId="897">
    <w:name w:val="toc 4"/>
    <w:basedOn w:val="866"/>
    <w:next w:val="866"/>
    <w:uiPriority w:val="39"/>
    <w:unhideWhenUsed/>
    <w:qFormat/>
    <w:pPr>
      <w:ind w:left="1260"/>
    </w:pPr>
    <w:rPr>
      <w:rFonts w:asciiTheme="minorHAnsi" w:hAnsiTheme="minorHAnsi" w:eastAsiaTheme="minorEastAsia" w:cstheme="minorBidi"/>
      <w:szCs w:val="22"/>
    </w:rPr>
  </w:style>
  <w:style w:type="paragraph" w:styleId="898">
    <w:name w:val="Subtitle"/>
    <w:basedOn w:val="866"/>
    <w:next w:val="866"/>
    <w:link w:val="926"/>
    <w:uiPriority w:val="11"/>
    <w:qFormat/>
    <w:pPr>
      <w:spacing w:before="200" w:after="200"/>
    </w:pPr>
    <w:rPr>
      <w:sz w:val="24"/>
    </w:rPr>
  </w:style>
  <w:style w:type="paragraph" w:styleId="899">
    <w:name w:val="footnote text"/>
    <w:basedOn w:val="866"/>
    <w:link w:val="1059"/>
    <w:uiPriority w:val="99"/>
    <w:unhideWhenUsed/>
    <w:qFormat/>
    <w:pPr>
      <w:spacing w:after="40"/>
    </w:pPr>
    <w:rPr>
      <w:sz w:val="18"/>
    </w:rPr>
  </w:style>
  <w:style w:type="paragraph" w:styleId="900">
    <w:name w:val="toc 6"/>
    <w:basedOn w:val="866"/>
    <w:next w:val="866"/>
    <w:uiPriority w:val="39"/>
    <w:unhideWhenUsed/>
    <w:qFormat/>
    <w:pPr>
      <w:ind w:left="2100"/>
    </w:pPr>
    <w:rPr>
      <w:rFonts w:asciiTheme="minorHAnsi" w:hAnsiTheme="minorHAnsi" w:eastAsiaTheme="minorEastAsia" w:cstheme="minorBidi"/>
      <w:szCs w:val="22"/>
    </w:rPr>
  </w:style>
  <w:style w:type="paragraph" w:styleId="901">
    <w:name w:val="table of figures"/>
    <w:basedOn w:val="866"/>
    <w:next w:val="866"/>
    <w:uiPriority w:val="99"/>
    <w:unhideWhenUsed/>
    <w:qFormat/>
  </w:style>
  <w:style w:type="paragraph" w:styleId="902">
    <w:name w:val="toc 2"/>
    <w:basedOn w:val="866"/>
    <w:next w:val="866"/>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903">
    <w:name w:val="toc 9"/>
    <w:basedOn w:val="866"/>
    <w:next w:val="866"/>
    <w:uiPriority w:val="39"/>
    <w:unhideWhenUsed/>
    <w:qFormat/>
    <w:pPr>
      <w:ind w:left="3360"/>
    </w:pPr>
    <w:rPr>
      <w:rFonts w:asciiTheme="minorHAnsi" w:hAnsiTheme="minorHAnsi" w:eastAsiaTheme="minorEastAsia" w:cstheme="minorBidi"/>
      <w:szCs w:val="22"/>
    </w:rPr>
  </w:style>
  <w:style w:type="paragraph" w:styleId="904">
    <w:name w:val="Body Text 2"/>
    <w:basedOn w:val="866"/>
    <w:link w:val="1087"/>
    <w:uiPriority w:val="0"/>
    <w:qFormat/>
    <w:pPr>
      <w:spacing w:after="120" w:line="480" w:lineRule="auto"/>
    </w:pPr>
    <w:rPr>
      <w:rFonts w:ascii="Calibri" w:hAnsi="Calibri"/>
    </w:rPr>
  </w:style>
  <w:style w:type="paragraph" w:styleId="905">
    <w:name w:val="Normal (Web)"/>
    <w:basedOn w:val="866"/>
    <w:uiPriority w:val="99"/>
    <w:qFormat/>
    <w:pPr>
      <w:jc w:val="left"/>
      <w:spacing w:before="100" w:beforeAutospacing="1" w:after="100" w:afterAutospacing="1"/>
      <w:widowControl/>
    </w:pPr>
    <w:rPr>
      <w:sz w:val="24"/>
    </w:rPr>
  </w:style>
  <w:style w:type="paragraph" w:styleId="906">
    <w:name w:val="Title"/>
    <w:basedOn w:val="866"/>
    <w:next w:val="866"/>
    <w:link w:val="1088"/>
    <w:uiPriority w:val="0"/>
    <w:qFormat/>
    <w:pPr>
      <w:jc w:val="center"/>
      <w:spacing w:before="240" w:after="60"/>
      <w:outlineLvl w:val="0"/>
    </w:pPr>
    <w:rPr>
      <w:rFonts w:ascii="等线 Light" w:hAnsi="等线 Light"/>
      <w:b/>
      <w:bCs/>
      <w:sz w:val="32"/>
      <w:szCs w:val="32"/>
    </w:rPr>
  </w:style>
  <w:style w:type="paragraph" w:styleId="907">
    <w:name w:val="annotation subject"/>
    <w:basedOn w:val="883"/>
    <w:next w:val="883"/>
    <w:link w:val="1089"/>
    <w:uiPriority w:val="0"/>
    <w:qFormat/>
    <w:rPr>
      <w:b/>
      <w:bCs/>
    </w:rPr>
  </w:style>
  <w:style w:type="table" w:styleId="908">
    <w:name w:val="Table Grid"/>
    <w:basedOn w:val="877"/>
    <w:uiPriority w:val="0"/>
    <w:qFormat/>
    <w:pPr>
      <w:jc w:val="both"/>
      <w:widowControl w:val="off"/>
    </w:pPr>
    <w:rPr>
      <w:rFonts w:ascii="Calibri" w:hAnsi="Calibri"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09">
    <w:name w:val="Strong"/>
    <w:uiPriority w:val="0"/>
    <w:qFormat/>
    <w:rPr>
      <w:b/>
      <w:bCs/>
    </w:rPr>
  </w:style>
  <w:style w:type="character" w:styleId="910">
    <w:name w:val="endnote reference"/>
    <w:basedOn w:val="876"/>
    <w:uiPriority w:val="99"/>
    <w:unhideWhenUsed/>
    <w:qFormat/>
    <w:rPr>
      <w:vertAlign w:val="superscript"/>
    </w:rPr>
  </w:style>
  <w:style w:type="character" w:styleId="911">
    <w:name w:val="page number"/>
    <w:uiPriority w:val="0"/>
    <w:qFormat/>
  </w:style>
  <w:style w:type="character" w:styleId="912">
    <w:name w:val="Emphasis"/>
    <w:uiPriority w:val="0"/>
    <w:qFormat/>
    <w:rPr>
      <w:i/>
      <w:iCs/>
    </w:rPr>
  </w:style>
  <w:style w:type="character" w:styleId="913">
    <w:name w:val="Hyperlink"/>
    <w:uiPriority w:val="99"/>
    <w:qFormat/>
    <w:rPr>
      <w:color w:val="auto"/>
      <w:u w:val="none"/>
    </w:rPr>
  </w:style>
  <w:style w:type="character" w:styleId="914">
    <w:name w:val="annotation reference"/>
    <w:uiPriority w:val="0"/>
    <w:qFormat/>
    <w:rPr>
      <w:sz w:val="21"/>
      <w:szCs w:val="21"/>
    </w:rPr>
  </w:style>
  <w:style w:type="character" w:styleId="915">
    <w:name w:val="footnote reference"/>
    <w:basedOn w:val="876"/>
    <w:uiPriority w:val="99"/>
    <w:unhideWhenUsed/>
    <w:qFormat/>
    <w:rPr>
      <w:vertAlign w:val="superscript"/>
    </w:rPr>
  </w:style>
  <w:style w:type="character" w:styleId="916" w:customStyle="1">
    <w:name w:val="Heading 1 Char"/>
    <w:basedOn w:val="876"/>
    <w:uiPriority w:val="9"/>
    <w:qFormat/>
    <w:rPr>
      <w:rFonts w:ascii="Arial" w:hAnsi="Arial" w:eastAsia="Arial" w:cs="Arial"/>
      <w:sz w:val="40"/>
      <w:szCs w:val="40"/>
    </w:rPr>
  </w:style>
  <w:style w:type="character" w:styleId="917" w:customStyle="1">
    <w:name w:val="Heading 2 Char"/>
    <w:basedOn w:val="876"/>
    <w:uiPriority w:val="9"/>
    <w:qFormat/>
    <w:rPr>
      <w:rFonts w:ascii="Arial" w:hAnsi="Arial" w:eastAsia="Arial" w:cs="Arial"/>
      <w:sz w:val="34"/>
    </w:rPr>
  </w:style>
  <w:style w:type="character" w:styleId="918" w:customStyle="1">
    <w:name w:val="Heading 3 Char"/>
    <w:basedOn w:val="876"/>
    <w:uiPriority w:val="9"/>
    <w:qFormat/>
    <w:rPr>
      <w:rFonts w:ascii="Arial" w:hAnsi="Arial" w:eastAsia="Arial" w:cs="Arial"/>
      <w:sz w:val="30"/>
      <w:szCs w:val="30"/>
    </w:rPr>
  </w:style>
  <w:style w:type="character" w:styleId="919" w:customStyle="1">
    <w:name w:val="Heading 4 Char"/>
    <w:basedOn w:val="876"/>
    <w:uiPriority w:val="9"/>
    <w:qFormat/>
    <w:rPr>
      <w:rFonts w:ascii="Arial" w:hAnsi="Arial" w:eastAsia="Arial" w:cs="Arial"/>
      <w:b/>
      <w:bCs/>
      <w:sz w:val="26"/>
      <w:szCs w:val="26"/>
    </w:rPr>
  </w:style>
  <w:style w:type="character" w:styleId="920" w:customStyle="1">
    <w:name w:val="标题 5 字符"/>
    <w:basedOn w:val="876"/>
    <w:link w:val="871"/>
    <w:uiPriority w:val="9"/>
    <w:qFormat/>
    <w:rPr>
      <w:rFonts w:ascii="Arial" w:hAnsi="Arial" w:eastAsia="Arial" w:cs="Arial"/>
      <w:b/>
      <w:bCs/>
      <w:sz w:val="24"/>
      <w:szCs w:val="24"/>
    </w:rPr>
  </w:style>
  <w:style w:type="character" w:styleId="921" w:customStyle="1">
    <w:name w:val="Heading 6 Char"/>
    <w:basedOn w:val="876"/>
    <w:uiPriority w:val="9"/>
    <w:qFormat/>
    <w:rPr>
      <w:rFonts w:ascii="Arial" w:hAnsi="Arial" w:eastAsia="Arial" w:cs="Arial"/>
      <w:b/>
      <w:bCs/>
      <w:sz w:val="22"/>
      <w:szCs w:val="22"/>
    </w:rPr>
  </w:style>
  <w:style w:type="character" w:styleId="922" w:customStyle="1">
    <w:name w:val="标题 7 字符"/>
    <w:basedOn w:val="876"/>
    <w:link w:val="873"/>
    <w:uiPriority w:val="9"/>
    <w:qFormat/>
    <w:rPr>
      <w:rFonts w:ascii="Arial" w:hAnsi="Arial" w:eastAsia="Arial" w:cs="Arial"/>
      <w:b/>
      <w:bCs/>
      <w:i/>
      <w:iCs/>
      <w:sz w:val="22"/>
      <w:szCs w:val="22"/>
    </w:rPr>
  </w:style>
  <w:style w:type="character" w:styleId="923" w:customStyle="1">
    <w:name w:val="Heading 8 Char"/>
    <w:basedOn w:val="876"/>
    <w:uiPriority w:val="9"/>
    <w:qFormat/>
    <w:rPr>
      <w:rFonts w:ascii="Arial" w:hAnsi="Arial" w:eastAsia="Arial" w:cs="Arial"/>
      <w:i/>
      <w:iCs/>
      <w:sz w:val="22"/>
      <w:szCs w:val="22"/>
    </w:rPr>
  </w:style>
  <w:style w:type="character" w:styleId="924" w:customStyle="1">
    <w:name w:val="标题 9 字符"/>
    <w:basedOn w:val="876"/>
    <w:link w:val="875"/>
    <w:uiPriority w:val="9"/>
    <w:qFormat/>
    <w:rPr>
      <w:rFonts w:ascii="Arial" w:hAnsi="Arial" w:eastAsia="Arial" w:cs="Arial"/>
      <w:i/>
      <w:iCs/>
      <w:sz w:val="21"/>
      <w:szCs w:val="21"/>
    </w:rPr>
  </w:style>
  <w:style w:type="character" w:styleId="925" w:customStyle="1">
    <w:name w:val="Title Char"/>
    <w:basedOn w:val="876"/>
    <w:uiPriority w:val="10"/>
    <w:qFormat/>
    <w:rPr>
      <w:sz w:val="48"/>
      <w:szCs w:val="48"/>
    </w:rPr>
  </w:style>
  <w:style w:type="character" w:styleId="926" w:customStyle="1">
    <w:name w:val="副标题 字符"/>
    <w:basedOn w:val="876"/>
    <w:link w:val="898"/>
    <w:uiPriority w:val="11"/>
    <w:qFormat/>
    <w:rPr>
      <w:sz w:val="24"/>
      <w:szCs w:val="24"/>
    </w:rPr>
  </w:style>
  <w:style w:type="paragraph" w:styleId="927" w:customStyle="1">
    <w:name w:val="引用1"/>
    <w:basedOn w:val="866"/>
    <w:next w:val="866"/>
    <w:link w:val="928"/>
    <w:uiPriority w:val="29"/>
    <w:qFormat/>
    <w:pPr>
      <w:ind w:left="720" w:right="720"/>
    </w:pPr>
    <w:rPr>
      <w:i/>
    </w:rPr>
  </w:style>
  <w:style w:type="character" w:styleId="928" w:customStyle="1">
    <w:name w:val="Quote Char"/>
    <w:link w:val="927"/>
    <w:uiPriority w:val="29"/>
    <w:qFormat/>
    <w:rPr>
      <w:i/>
    </w:rPr>
  </w:style>
  <w:style w:type="paragraph" w:styleId="929" w:customStyle="1">
    <w:name w:val="明显引用1"/>
    <w:basedOn w:val="866"/>
    <w:next w:val="866"/>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Intense Quote Char"/>
    <w:link w:val="929"/>
    <w:uiPriority w:val="30"/>
    <w:qFormat/>
    <w:rPr>
      <w:i/>
    </w:rPr>
  </w:style>
  <w:style w:type="character" w:styleId="931" w:customStyle="1">
    <w:name w:val="Header Char"/>
    <w:basedOn w:val="876"/>
    <w:uiPriority w:val="99"/>
    <w:qFormat/>
  </w:style>
  <w:style w:type="character" w:styleId="932" w:customStyle="1">
    <w:name w:val="Footer Char"/>
    <w:basedOn w:val="876"/>
    <w:uiPriority w:val="99"/>
    <w:qFormat/>
  </w:style>
  <w:style w:type="character" w:styleId="933" w:customStyle="1">
    <w:name w:val="Caption Char"/>
    <w:uiPriority w:val="99"/>
    <w:qFormat/>
  </w:style>
  <w:style w:type="table" w:styleId="934" w:customStyle="1">
    <w:name w:val="Table Grid Light"/>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5" w:customStyle="1">
    <w:name w:val="无格式表格 11"/>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7" w:customStyle="1">
    <w:name w:val="网格表 2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3" w:customStyle="1">
    <w:name w:val="Grid Table 2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网格表 3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网格表 41"/>
    <w:basedOn w:val="8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basedOn w:val="87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3" w:customStyle="1">
    <w:name w:val="Grid Table 4 - Accent 2"/>
    <w:basedOn w:val="8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4" w:customStyle="1">
    <w:name w:val="Grid Table 4 - Accent 3"/>
    <w:basedOn w:val="8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5" w:customStyle="1">
    <w:name w:val="Grid Table 4 - Accent 4"/>
    <w:basedOn w:val="8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6" w:customStyle="1">
    <w:name w:val="Grid Table 4 - Accent 5"/>
    <w:basedOn w:val="87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7" w:customStyle="1">
    <w:name w:val="Grid Table 4 - Accent 6"/>
    <w:basedOn w:val="8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8" w:customStyle="1">
    <w:name w:val="网格表 5 深色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0" w:customStyle="1">
    <w:name w:val="Grid Table 5 Dark - Accent 2"/>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1" w:customStyle="1">
    <w:name w:val="Grid Table 5 Dark - Accent 3"/>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2" w:customStyle="1">
    <w:name w:val="Grid Table 5 Dark- Accent 4"/>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3" w:customStyle="1">
    <w:name w:val="Grid Table 5 Dark - Accent 5"/>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4" w:customStyle="1">
    <w:name w:val="Grid Table 5 Dark - Accent 6"/>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5" w:customStyle="1">
    <w:name w:val="网格表 6 彩色1"/>
    <w:basedOn w:val="8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basedOn w:val="87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7" w:customStyle="1">
    <w:name w:val="Grid Table 6 Colorful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8" w:customStyle="1">
    <w:name w:val="Grid Table 6 Colorful - Accent 3"/>
    <w:basedOn w:val="8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9" w:customStyle="1">
    <w:name w:val="Grid Table 6 Colorful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0" w:customStyle="1">
    <w:name w:val="Grid Table 6 Colorful - Accent 5"/>
    <w:basedOn w:val="87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1" w:customStyle="1">
    <w:name w:val="Grid Table 6 Colorful - Accent 6"/>
    <w:basedOn w:val="8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2" w:customStyle="1">
    <w:name w:val="网格表 7 彩色1"/>
    <w:basedOn w:val="8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basedOn w:val="87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basedOn w:val="8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basedOn w:val="8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basedOn w:val="8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basedOn w:val="87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basedOn w:val="8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9" w:customStyle="1">
    <w:name w:val="清单表 1 浅色1"/>
    <w:basedOn w:val="8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basedOn w:val="87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1" w:customStyle="1">
    <w:name w:val="List Table 1 Light - Accent 2"/>
    <w:basedOn w:val="87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2" w:customStyle="1">
    <w:name w:val="List Table 1 Light - Accent 3"/>
    <w:basedOn w:val="87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3" w:customStyle="1">
    <w:name w:val="List Table 1 Light - Accent 4"/>
    <w:basedOn w:val="87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4" w:customStyle="1">
    <w:name w:val="List Table 1 Light - Accent 5"/>
    <w:basedOn w:val="87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5" w:customStyle="1">
    <w:name w:val="List Table 1 Light - Accent 6"/>
    <w:basedOn w:val="87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6" w:customStyle="1">
    <w:name w:val="清单表 21"/>
    <w:basedOn w:val="8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basedOn w:val="87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8" w:customStyle="1">
    <w:name w:val="List Table 2 - Accent 2"/>
    <w:basedOn w:val="8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9" w:customStyle="1">
    <w:name w:val="List Table 2 - Accent 3"/>
    <w:basedOn w:val="8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0" w:customStyle="1">
    <w:name w:val="List Table 2 - Accent 4"/>
    <w:basedOn w:val="8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1" w:customStyle="1">
    <w:name w:val="List Table 2 - Accent 5"/>
    <w:basedOn w:val="87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2" w:customStyle="1">
    <w:name w:val="List Table 2 - Accent 6"/>
    <w:basedOn w:val="8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3" w:customStyle="1">
    <w:name w:val="清单表 3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basedOn w:val="87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5" w:customStyle="1">
    <w:name w:val="List Table 3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6" w:customStyle="1">
    <w:name w:val="List Table 3 - Accent 3"/>
    <w:basedOn w:val="8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7" w:customStyle="1">
    <w:name w:val="List Table 3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8" w:customStyle="1">
    <w:name w:val="List Table 3 - Accent 5"/>
    <w:basedOn w:val="87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9" w:customStyle="1">
    <w:name w:val="List Table 3 - Accent 6"/>
    <w:basedOn w:val="8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0" w:customStyle="1">
    <w:name w:val="清单表 4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basedOn w:val="87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2" w:customStyle="1">
    <w:name w:val="List Table 4 - Accent 2"/>
    <w:basedOn w:val="8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3" w:customStyle="1">
    <w:name w:val="List Table 4 - Accent 3"/>
    <w:basedOn w:val="8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4" w:customStyle="1">
    <w:name w:val="List Table 4 - Accent 4"/>
    <w:basedOn w:val="8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5" w:customStyle="1">
    <w:name w:val="List Table 4 - Accent 5"/>
    <w:basedOn w:val="87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6" w:customStyle="1">
    <w:name w:val="List Table 4 - Accent 6"/>
    <w:basedOn w:val="8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7" w:customStyle="1">
    <w:name w:val="清单表 5 深色1"/>
    <w:basedOn w:val="8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basedOn w:val="87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7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清单表 6 彩色1"/>
    <w:basedOn w:val="8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basedOn w:val="87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6" w:customStyle="1">
    <w:name w:val="List Table 6 Colorful - Accent 2"/>
    <w:basedOn w:val="87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7" w:customStyle="1">
    <w:name w:val="List Table 6 Colorful - Accent 3"/>
    <w:basedOn w:val="87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8" w:customStyle="1">
    <w:name w:val="List Table 6 Colorful - Accent 4"/>
    <w:basedOn w:val="87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9" w:customStyle="1">
    <w:name w:val="List Table 6 Colorful - Accent 5"/>
    <w:basedOn w:val="87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30" w:customStyle="1">
    <w:name w:val="List Table 6 Colorful - Accent 6"/>
    <w:basedOn w:val="87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1" w:customStyle="1">
    <w:name w:val="清单表 7 彩色1"/>
    <w:basedOn w:val="8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basedOn w:val="87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basedOn w:val="87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basedOn w:val="87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basedOn w:val="87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basedOn w:val="87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basedOn w:val="87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8" w:customStyle="1">
    <w:name w:val="Lined - Accent"/>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0" w:customStyle="1">
    <w:name w:val="Lined - Accent 2"/>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1" w:customStyle="1">
    <w:name w:val="Lined - Accent 3"/>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2" w:customStyle="1">
    <w:name w:val="Lined - Accent 4"/>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3" w:customStyle="1">
    <w:name w:val="Lined - Accent 5"/>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4" w:customStyle="1">
    <w:name w:val="Lined - Accent 6"/>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5" w:customStyle="1">
    <w:name w:val="Bordered &amp; Lined - Accent"/>
    <w:basedOn w:val="8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basedOn w:val="87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7" w:customStyle="1">
    <w:name w:val="Bordered &amp; Lined - Accent 2"/>
    <w:basedOn w:val="8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8" w:customStyle="1">
    <w:name w:val="Bordered &amp; Lined - Accent 3"/>
    <w:basedOn w:val="8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9" w:customStyle="1">
    <w:name w:val="Bordered &amp; Lined - Accent 4"/>
    <w:basedOn w:val="8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0" w:customStyle="1">
    <w:name w:val="Bordered &amp; Lined - Accent 5"/>
    <w:basedOn w:val="87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1" w:customStyle="1">
    <w:name w:val="Bordered &amp; Lined - Accent 6"/>
    <w:basedOn w:val="8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2" w:customStyle="1">
    <w:name w:val="Bordered"/>
    <w:basedOn w:val="8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4" w:customStyle="1">
    <w:name w:val="Bordered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5" w:customStyle="1">
    <w:name w:val="Bordered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6" w:customStyle="1">
    <w:name w:val="Bordered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7" w:customStyle="1">
    <w:name w:val="Bordered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8" w:customStyle="1">
    <w:name w:val="Bordered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9" w:customStyle="1">
    <w:name w:val="脚注文本 字符"/>
    <w:link w:val="899"/>
    <w:uiPriority w:val="99"/>
    <w:qFormat/>
    <w:rPr>
      <w:sz w:val="18"/>
    </w:rPr>
  </w:style>
  <w:style w:type="character" w:styleId="1060" w:customStyle="1">
    <w:name w:val="尾注文本 字符"/>
    <w:link w:val="892"/>
    <w:uiPriority w:val="99"/>
    <w:qFormat/>
    <w:rPr>
      <w:sz w:val="20"/>
    </w:rPr>
  </w:style>
  <w:style w:type="paragraph" w:styleId="1061" w:customStyle="1">
    <w:name w:val="TOC 标题1"/>
    <w:uiPriority w:val="39"/>
    <w:unhideWhenUsed/>
    <w:qFormat/>
    <w:rPr>
      <w:rFonts w:ascii="Times New Roman" w:hAnsi="Times New Roman" w:eastAsia="宋体" w:cs="Times New Roman"/>
      <w:lang w:val="en-US" w:eastAsia="zh-CN" w:bidi="ar-SA"/>
    </w:rPr>
  </w:style>
  <w:style w:type="paragraph" w:styleId="1062" w:customStyle="1">
    <w:name w:val="正文 New"/>
    <w:uiPriority w:val="0"/>
    <w:semiHidden/>
    <w:qFormat/>
    <w:pPr>
      <w:ind w:left="357" w:hanging="357"/>
      <w:jc w:val="both"/>
      <w:spacing w:line="440" w:lineRule="exact"/>
    </w:pPr>
    <w:rPr>
      <w:rFonts w:ascii="Calibri" w:hAnsi="Calibri" w:eastAsia="宋体" w:cs="宋体"/>
      <w:sz w:val="21"/>
      <w:szCs w:val="24"/>
      <w:lang w:val="en-US" w:eastAsia="zh-CN" w:bidi="ar-SA"/>
    </w:rPr>
  </w:style>
  <w:style w:type="character" w:styleId="1063" w:customStyle="1">
    <w:name w:val="标题 1 字符"/>
    <w:link w:val="867"/>
    <w:uiPriority w:val="0"/>
    <w:qFormat/>
    <w:rPr>
      <w:b/>
      <w:bCs/>
      <w:sz w:val="21"/>
      <w:szCs w:val="44"/>
    </w:rPr>
  </w:style>
  <w:style w:type="character" w:styleId="1064" w:customStyle="1">
    <w:name w:val="标题 2 字符"/>
    <w:link w:val="868"/>
    <w:uiPriority w:val="0"/>
    <w:semiHidden/>
    <w:qFormat/>
    <w:rPr>
      <w:rFonts w:ascii="等线 Light" w:hAnsi="等线 Light" w:eastAsia="等线 Light" w:cs="Times New Roman"/>
      <w:b/>
      <w:bCs/>
      <w:sz w:val="32"/>
      <w:szCs w:val="32"/>
    </w:rPr>
  </w:style>
  <w:style w:type="character" w:styleId="1065" w:customStyle="1">
    <w:name w:val="标题 3 字符"/>
    <w:link w:val="869"/>
    <w:uiPriority w:val="9"/>
    <w:qFormat/>
    <w:rPr>
      <w:rFonts w:eastAsia="宋体"/>
      <w:b/>
      <w:bCs/>
      <w:sz w:val="32"/>
      <w:szCs w:val="32"/>
      <w:lang w:val="en-US" w:eastAsia="zh-CN" w:bidi="ar-SA"/>
    </w:rPr>
  </w:style>
  <w:style w:type="character" w:styleId="1066" w:customStyle="1">
    <w:name w:val="标题 4 字符"/>
    <w:link w:val="870"/>
    <w:uiPriority w:val="0"/>
    <w:semiHidden/>
    <w:qFormat/>
    <w:rPr>
      <w:rFonts w:ascii="等线 Light" w:hAnsi="等线 Light" w:eastAsia="等线 Light" w:cs="Times New Roman"/>
      <w:b/>
      <w:bCs/>
      <w:sz w:val="28"/>
      <w:szCs w:val="28"/>
    </w:rPr>
  </w:style>
  <w:style w:type="character" w:styleId="1067" w:customStyle="1">
    <w:name w:val="标题 6 字符"/>
    <w:link w:val="872"/>
    <w:uiPriority w:val="0"/>
    <w:qFormat/>
    <w:rPr>
      <w:rFonts w:ascii="等线 Light" w:hAnsi="等线 Light" w:eastAsia="等线 Light" w:cs="Times New Roman"/>
      <w:b/>
      <w:bCs/>
      <w:sz w:val="24"/>
      <w:szCs w:val="24"/>
    </w:rPr>
  </w:style>
  <w:style w:type="character" w:styleId="1068" w:customStyle="1">
    <w:name w:val="标题 8 字符"/>
    <w:link w:val="874"/>
    <w:uiPriority w:val="0"/>
    <w:semiHidden/>
    <w:qFormat/>
    <w:rPr>
      <w:rFonts w:ascii="等线 Light" w:hAnsi="等线 Light" w:eastAsia="等线 Light" w:cs="Times New Roman"/>
      <w:sz w:val="24"/>
      <w:szCs w:val="24"/>
    </w:rPr>
  </w:style>
  <w:style w:type="paragraph" w:styleId="1069" w:customStyle="1">
    <w:name w:val="目录 71"/>
    <w:basedOn w:val="866"/>
    <w:next w:val="866"/>
    <w:uiPriority w:val="39"/>
    <w:unhideWhenUsed/>
    <w:qFormat/>
    <w:pPr>
      <w:ind w:left="2520"/>
    </w:pPr>
    <w:rPr>
      <w:rFonts w:ascii="等线" w:hAnsi="等线" w:eastAsia="等线"/>
      <w:szCs w:val="22"/>
    </w:rPr>
  </w:style>
  <w:style w:type="character" w:styleId="1070" w:customStyle="1">
    <w:name w:val="正文缩进 字符"/>
    <w:link w:val="880"/>
    <w:uiPriority w:val="0"/>
    <w:qFormat/>
    <w:rPr>
      <w:sz w:val="21"/>
    </w:rPr>
  </w:style>
  <w:style w:type="character" w:styleId="1071" w:customStyle="1">
    <w:name w:val="文档结构图 字符"/>
    <w:link w:val="882"/>
    <w:uiPriority w:val="0"/>
    <w:qFormat/>
    <w:rPr>
      <w:sz w:val="21"/>
      <w:szCs w:val="24"/>
      <w:shd w:val="clear" w:color="auto" w:fill="000080"/>
    </w:rPr>
  </w:style>
  <w:style w:type="character" w:styleId="1072" w:customStyle="1">
    <w:name w:val="批注文字 字符"/>
    <w:link w:val="883"/>
    <w:uiPriority w:val="0"/>
    <w:qFormat/>
    <w:rPr>
      <w:sz w:val="21"/>
      <w:szCs w:val="24"/>
    </w:rPr>
  </w:style>
  <w:style w:type="character" w:styleId="1073" w:customStyle="1">
    <w:name w:val="正文文本 字符"/>
    <w:link w:val="884"/>
    <w:uiPriority w:val="1"/>
    <w:qFormat/>
    <w:rPr>
      <w:sz w:val="21"/>
      <w:szCs w:val="24"/>
    </w:rPr>
  </w:style>
  <w:style w:type="paragraph" w:styleId="1074" w:customStyle="1">
    <w:name w:val="目录 51"/>
    <w:basedOn w:val="866"/>
    <w:next w:val="866"/>
    <w:uiPriority w:val="39"/>
    <w:unhideWhenUsed/>
    <w:qFormat/>
    <w:pPr>
      <w:ind w:left="1680"/>
    </w:pPr>
    <w:rPr>
      <w:rFonts w:ascii="等线" w:hAnsi="等线" w:eastAsia="等线"/>
      <w:szCs w:val="22"/>
    </w:rPr>
  </w:style>
  <w:style w:type="paragraph" w:styleId="1075" w:customStyle="1">
    <w:name w:val="目录 31"/>
    <w:basedOn w:val="866"/>
    <w:next w:val="866"/>
    <w:uiPriority w:val="39"/>
    <w:unhideWhenUsed/>
    <w:qFormat/>
    <w:pPr>
      <w:ind w:left="440"/>
      <w:jc w:val="left"/>
      <w:spacing w:after="100" w:line="259" w:lineRule="auto"/>
      <w:widowControl/>
    </w:pPr>
    <w:rPr>
      <w:rFonts w:ascii="等线" w:hAnsi="等线" w:eastAsia="等线"/>
      <w:sz w:val="22"/>
      <w:szCs w:val="22"/>
    </w:rPr>
  </w:style>
  <w:style w:type="character" w:styleId="1076" w:customStyle="1">
    <w:name w:val="纯文本 字符"/>
    <w:link w:val="889"/>
    <w:uiPriority w:val="0"/>
    <w:qFormat/>
    <w:rPr>
      <w:rFonts w:ascii="宋体" w:hAnsi="Courier New" w:cs="Courier New"/>
      <w:sz w:val="21"/>
      <w:szCs w:val="21"/>
    </w:rPr>
  </w:style>
  <w:style w:type="paragraph" w:styleId="1077" w:customStyle="1">
    <w:name w:val="目录 81"/>
    <w:basedOn w:val="866"/>
    <w:next w:val="866"/>
    <w:uiPriority w:val="39"/>
    <w:unhideWhenUsed/>
    <w:qFormat/>
    <w:pPr>
      <w:ind w:left="2940"/>
    </w:pPr>
    <w:rPr>
      <w:rFonts w:ascii="等线" w:hAnsi="等线" w:eastAsia="等线"/>
      <w:szCs w:val="22"/>
    </w:rPr>
  </w:style>
  <w:style w:type="character" w:styleId="1078" w:customStyle="1">
    <w:name w:val="日期 字符"/>
    <w:link w:val="891"/>
    <w:uiPriority w:val="0"/>
    <w:qFormat/>
    <w:rPr>
      <w:sz w:val="24"/>
    </w:rPr>
  </w:style>
  <w:style w:type="character" w:styleId="1079" w:customStyle="1">
    <w:name w:val="批注框文本 字符"/>
    <w:link w:val="893"/>
    <w:uiPriority w:val="0"/>
    <w:qFormat/>
    <w:rPr>
      <w:sz w:val="18"/>
      <w:szCs w:val="18"/>
    </w:rPr>
  </w:style>
  <w:style w:type="character" w:styleId="1080" w:customStyle="1">
    <w:name w:val="页脚 字符"/>
    <w:link w:val="894"/>
    <w:uiPriority w:val="99"/>
    <w:qFormat/>
    <w:rPr>
      <w:sz w:val="18"/>
      <w:szCs w:val="18"/>
    </w:rPr>
  </w:style>
  <w:style w:type="character" w:styleId="1081" w:customStyle="1">
    <w:name w:val="页眉 字符"/>
    <w:link w:val="895"/>
    <w:uiPriority w:val="99"/>
    <w:qFormat/>
    <w:rPr>
      <w:sz w:val="18"/>
      <w:szCs w:val="18"/>
    </w:rPr>
  </w:style>
  <w:style w:type="paragraph" w:styleId="1082" w:customStyle="1">
    <w:name w:val="目录 11"/>
    <w:basedOn w:val="866"/>
    <w:next w:val="866"/>
    <w:uiPriority w:val="39"/>
    <w:qFormat/>
    <w:rPr>
      <w:rFonts w:ascii="仿宋_GB2312" w:eastAsia="仿宋_GB2312"/>
      <w:sz w:val="24"/>
    </w:rPr>
  </w:style>
  <w:style w:type="paragraph" w:styleId="1083" w:customStyle="1">
    <w:name w:val="目录 41"/>
    <w:basedOn w:val="866"/>
    <w:next w:val="866"/>
    <w:uiPriority w:val="39"/>
    <w:unhideWhenUsed/>
    <w:qFormat/>
    <w:pPr>
      <w:ind w:left="1260"/>
    </w:pPr>
    <w:rPr>
      <w:rFonts w:ascii="等线" w:hAnsi="等线" w:eastAsia="等线"/>
      <w:szCs w:val="22"/>
    </w:rPr>
  </w:style>
  <w:style w:type="paragraph" w:styleId="1084" w:customStyle="1">
    <w:name w:val="目录 61"/>
    <w:basedOn w:val="866"/>
    <w:next w:val="866"/>
    <w:uiPriority w:val="39"/>
    <w:unhideWhenUsed/>
    <w:qFormat/>
    <w:pPr>
      <w:ind w:left="2100"/>
    </w:pPr>
    <w:rPr>
      <w:rFonts w:ascii="等线" w:hAnsi="等线" w:eastAsia="等线"/>
      <w:szCs w:val="22"/>
    </w:rPr>
  </w:style>
  <w:style w:type="paragraph" w:styleId="1085" w:customStyle="1">
    <w:name w:val="目录 21"/>
    <w:basedOn w:val="866"/>
    <w:next w:val="866"/>
    <w:uiPriority w:val="39"/>
    <w:unhideWhenUsed/>
    <w:qFormat/>
    <w:pPr>
      <w:ind w:left="220"/>
      <w:jc w:val="left"/>
      <w:spacing w:after="100" w:line="259" w:lineRule="auto"/>
      <w:widowControl/>
    </w:pPr>
    <w:rPr>
      <w:rFonts w:ascii="等线" w:hAnsi="等线" w:eastAsia="等线"/>
      <w:sz w:val="22"/>
      <w:szCs w:val="22"/>
    </w:rPr>
  </w:style>
  <w:style w:type="paragraph" w:styleId="1086" w:customStyle="1">
    <w:name w:val="目录 91"/>
    <w:basedOn w:val="866"/>
    <w:next w:val="866"/>
    <w:uiPriority w:val="39"/>
    <w:unhideWhenUsed/>
    <w:qFormat/>
    <w:pPr>
      <w:ind w:left="3360"/>
    </w:pPr>
    <w:rPr>
      <w:rFonts w:ascii="等线" w:hAnsi="等线" w:eastAsia="等线"/>
      <w:szCs w:val="22"/>
    </w:rPr>
  </w:style>
  <w:style w:type="character" w:styleId="1087" w:customStyle="1">
    <w:name w:val="正文文本 2 字符"/>
    <w:link w:val="904"/>
    <w:uiPriority w:val="0"/>
    <w:qFormat/>
    <w:rPr>
      <w:rFonts w:ascii="Calibri" w:hAnsi="Calibri"/>
      <w:sz w:val="21"/>
      <w:szCs w:val="24"/>
    </w:rPr>
  </w:style>
  <w:style w:type="character" w:styleId="1088" w:customStyle="1">
    <w:name w:val="标题 字符"/>
    <w:link w:val="906"/>
    <w:uiPriority w:val="0"/>
    <w:qFormat/>
    <w:rPr>
      <w:rFonts w:ascii="等线 Light" w:hAnsi="等线 Light" w:cs="Times New Roman"/>
      <w:b/>
      <w:bCs/>
      <w:sz w:val="32"/>
      <w:szCs w:val="32"/>
    </w:rPr>
  </w:style>
  <w:style w:type="character" w:styleId="1089" w:customStyle="1">
    <w:name w:val="批注主题 字符"/>
    <w:link w:val="907"/>
    <w:uiPriority w:val="0"/>
    <w:qFormat/>
    <w:rPr>
      <w:b/>
      <w:bCs/>
      <w:sz w:val="21"/>
      <w:szCs w:val="24"/>
    </w:rPr>
  </w:style>
  <w:style w:type="character" w:styleId="1090" w:customStyle="1">
    <w:name w:val="p0 Char"/>
    <w:link w:val="1091"/>
    <w:uiPriority w:val="0"/>
    <w:qFormat/>
    <w:rPr>
      <w:rFonts w:eastAsia="宋体"/>
      <w:sz w:val="21"/>
      <w:szCs w:val="21"/>
      <w:lang w:val="en-US" w:eastAsia="zh-CN" w:bidi="ar-SA"/>
    </w:rPr>
  </w:style>
  <w:style w:type="paragraph" w:styleId="1091" w:customStyle="1">
    <w:name w:val="p0"/>
    <w:basedOn w:val="866"/>
    <w:link w:val="1090"/>
    <w:uiPriority w:val="0"/>
    <w:qFormat/>
    <w:pPr>
      <w:widowControl/>
    </w:pPr>
    <w:rPr>
      <w:szCs w:val="21"/>
    </w:rPr>
  </w:style>
  <w:style w:type="character" w:styleId="1092" w:customStyle="1">
    <w:name w:val="标题 2 Char Char Char"/>
    <w:uiPriority w:val="0"/>
    <w:qFormat/>
    <w:rPr>
      <w:rFonts w:ascii="Arial" w:hAnsi="Arial" w:eastAsia="黑体"/>
      <w:b/>
      <w:bCs/>
      <w:sz w:val="32"/>
      <w:szCs w:val="32"/>
      <w:lang w:val="en-US" w:eastAsia="zh-CN" w:bidi="ar-SA"/>
    </w:rPr>
  </w:style>
  <w:style w:type="character" w:styleId="1093" w:customStyle="1">
    <w:name w:val="NormalCharacter"/>
    <w:uiPriority w:val="0"/>
    <w:semiHidden/>
    <w:qFormat/>
  </w:style>
  <w:style w:type="paragraph" w:styleId="1094" w:customStyle="1">
    <w:name w:val="标题 21"/>
    <w:basedOn w:val="866"/>
    <w:next w:val="866"/>
    <w:uiPriority w:val="0"/>
    <w:qFormat/>
    <w:pPr>
      <w:jc w:val="center"/>
      <w:keepNext/>
      <w:widowControl/>
    </w:pPr>
    <w:rPr>
      <w:rFonts w:ascii="楷体_GB2312" w:eastAsia="楷体_GB2312"/>
      <w:sz w:val="18"/>
      <w:szCs w:val="20"/>
    </w:rPr>
  </w:style>
  <w:style w:type="paragraph" w:styleId="1095" w:customStyle="1">
    <w:name w:val="TOC 标题11"/>
    <w:basedOn w:val="867"/>
    <w:next w:val="86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96"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样式1"/>
    <w:basedOn w:val="867"/>
    <w:link w:val="1098"/>
    <w:uiPriority w:val="0"/>
    <w:qFormat/>
    <w:pPr>
      <w:ind w:left="210" w:right="210"/>
    </w:pPr>
  </w:style>
  <w:style w:type="character" w:styleId="1098" w:customStyle="1">
    <w:name w:val="样式1 字符"/>
    <w:link w:val="1097"/>
    <w:uiPriority w:val="0"/>
    <w:qFormat/>
  </w:style>
  <w:style w:type="paragraph" w:styleId="1099" w:customStyle="1">
    <w:name w:val="标题 211"/>
    <w:basedOn w:val="86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00" w:customStyle="1">
    <w:name w:val="列出段落1"/>
    <w:basedOn w:val="866"/>
    <w:uiPriority w:val="1"/>
    <w:qFormat/>
    <w:pPr>
      <w:ind w:left="400" w:firstLine="420"/>
      <w:jc w:val="left"/>
    </w:pPr>
    <w:rPr>
      <w:rFonts w:ascii="宋体" w:hAnsi="宋体" w:cs="宋体"/>
      <w:sz w:val="22"/>
      <w:szCs w:val="22"/>
      <w:lang w:val="zh-CN" w:bidi="zh-CN"/>
    </w:rPr>
  </w:style>
  <w:style w:type="paragraph" w:styleId="1101" w:customStyle="1">
    <w:name w:val="Table Paragraph"/>
    <w:basedOn w:val="866"/>
    <w:uiPriority w:val="1"/>
    <w:qFormat/>
    <w:pPr>
      <w:jc w:val="left"/>
    </w:pPr>
    <w:rPr>
      <w:rFonts w:ascii="宋体" w:hAnsi="宋体" w:cs="宋体"/>
      <w:sz w:val="22"/>
      <w:szCs w:val="22"/>
      <w:lang w:val="zh-CN" w:bidi="zh-CN"/>
    </w:rPr>
  </w:style>
  <w:style w:type="character" w:styleId="1102" w:customStyle="1">
    <w:name w:val="ask-title2"/>
    <w:uiPriority w:val="0"/>
    <w:qFormat/>
  </w:style>
  <w:style w:type="paragraph" w:styleId="1103" w:customStyle="1">
    <w:name w:val="列出段落2"/>
    <w:basedOn w:val="866"/>
    <w:uiPriority w:val="99"/>
    <w:unhideWhenUsed/>
    <w:qFormat/>
    <w:pPr>
      <w:ind w:firstLine="420"/>
      <w:jc w:val="left"/>
    </w:pPr>
    <w:rPr>
      <w:rFonts w:ascii="宋体"/>
      <w:sz w:val="20"/>
      <w:szCs w:val="20"/>
    </w:rPr>
  </w:style>
  <w:style w:type="paragraph" w:styleId="1104" w:customStyle="1">
    <w:name w:val="纯文本1"/>
    <w:basedOn w:val="866"/>
    <w:uiPriority w:val="0"/>
    <w:qFormat/>
    <w:rPr>
      <w:rFonts w:ascii="宋体" w:hAnsi="Courier New"/>
      <w:sz w:val="20"/>
      <w:szCs w:val="21"/>
    </w:rPr>
  </w:style>
  <w:style w:type="character" w:styleId="1105" w:customStyle="1">
    <w:name w:val="纯文本 Char2"/>
    <w:uiPriority w:val="0"/>
    <w:qFormat/>
    <w:rPr>
      <w:rFonts w:ascii="宋体" w:hAnsi="Courier New"/>
      <w:sz w:val="21"/>
    </w:rPr>
  </w:style>
  <w:style w:type="paragraph" w:styleId="1106" w:customStyle="1">
    <w:name w:val="列出段落11"/>
    <w:basedOn w:val="866"/>
    <w:uiPriority w:val="0"/>
    <w:qFormat/>
    <w:pPr>
      <w:ind w:firstLine="420"/>
      <w:spacing w:line="0" w:lineRule="atLeast"/>
    </w:pPr>
    <w:rPr>
      <w:rFonts w:eastAsia="微软雅黑"/>
      <w:sz w:val="20"/>
      <w:szCs w:val="20"/>
    </w:rPr>
  </w:style>
  <w:style w:type="character" w:styleId="1107" w:customStyle="1">
    <w:name w:val="纯文本 Char"/>
    <w:link w:val="1108"/>
    <w:uiPriority w:val="0"/>
    <w:qFormat/>
    <w:rPr>
      <w:rFonts w:ascii="宋体" w:hAnsi="Courier New"/>
    </w:rPr>
  </w:style>
  <w:style w:type="paragraph" w:styleId="1108" w:customStyle="1">
    <w:name w:val="纯文本2"/>
    <w:basedOn w:val="866"/>
    <w:link w:val="1107"/>
    <w:uiPriority w:val="0"/>
    <w:qFormat/>
    <w:pPr>
      <w:ind w:firstLine="200"/>
      <w:spacing w:line="360" w:lineRule="auto"/>
    </w:pPr>
    <w:rPr>
      <w:rFonts w:ascii="宋体" w:hAnsi="Courier New"/>
      <w:sz w:val="20"/>
      <w:szCs w:val="20"/>
    </w:rPr>
  </w:style>
  <w:style w:type="character" w:styleId="1109" w:customStyle="1">
    <w:name w:val="页脚 Char"/>
    <w:uiPriority w:val="0"/>
    <w:qFormat/>
    <w:rPr>
      <w:sz w:val="18"/>
      <w:szCs w:val="18"/>
    </w:rPr>
  </w:style>
  <w:style w:type="paragraph" w:styleId="1110" w:customStyle="1">
    <w:name w:val="_Style 83"/>
    <w:basedOn w:val="866"/>
    <w:next w:val="1100"/>
    <w:uiPriority w:val="99"/>
    <w:qFormat/>
    <w:pPr>
      <w:ind w:firstLine="420"/>
    </w:pPr>
  </w:style>
  <w:style w:type="character" w:styleId="1111" w:customStyle="1">
    <w:name w:val="占位符文本1"/>
    <w:basedOn w:val="876"/>
    <w:uiPriority w:val="99"/>
    <w:unhideWhenUsed/>
    <w:qFormat/>
    <w:rPr>
      <w:color w:val="808080"/>
    </w:rPr>
  </w:style>
  <w:style w:type="paragraph" w:styleId="1112" w:customStyle="1">
    <w:name w:val="pf0"/>
    <w:basedOn w:val="866"/>
    <w:uiPriority w:val="0"/>
    <w:qFormat/>
    <w:pPr>
      <w:jc w:val="left"/>
      <w:spacing w:before="100" w:beforeAutospacing="1" w:after="100" w:afterAutospacing="1"/>
      <w:widowControl/>
    </w:pPr>
    <w:rPr>
      <w:rFonts w:ascii="宋体" w:hAnsi="宋体" w:cs="宋体"/>
      <w:sz w:val="24"/>
    </w:rPr>
  </w:style>
  <w:style w:type="character" w:styleId="1113" w:customStyle="1">
    <w:name w:val="cf01"/>
    <w:basedOn w:val="876"/>
    <w:uiPriority w:val="0"/>
    <w:qFormat/>
    <w:rPr>
      <w:rFonts w:hint="eastAsia" w:ascii="Microsoft YaHei UI" w:hAnsi="Microsoft YaHei UI" w:eastAsia="Microsoft YaHei UI"/>
      <w:sz w:val="18"/>
      <w:szCs w:val="18"/>
    </w:rPr>
  </w:style>
  <w:style w:type="character" w:styleId="1114" w:customStyle="1">
    <w:name w:val="cf11"/>
    <w:basedOn w:val="876"/>
    <w:uiPriority w:val="0"/>
    <w:qFormat/>
    <w:rPr>
      <w:rFonts w:hint="eastAsia" w:ascii="Microsoft YaHei UI" w:hAnsi="Microsoft YaHei UI" w:eastAsia="Microsoft YaHei UI"/>
      <w:sz w:val="18"/>
      <w:szCs w:val="18"/>
    </w:rPr>
  </w:style>
  <w:style w:type="paragraph" w:styleId="1115" w:customStyle="1">
    <w:name w:val="列表段落1"/>
    <w:basedOn w:val="866"/>
    <w:uiPriority w:val="1"/>
    <w:qFormat/>
    <w:pPr>
      <w:ind w:firstLine="420"/>
    </w:pPr>
  </w:style>
  <w:style w:type="paragraph" w:styleId="1116" w:customStyle="1">
    <w:name w:val="标题1，章节第一层"/>
    <w:basedOn w:val="866"/>
    <w:next w:val="86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17" w:customStyle="1">
    <w:name w:val="标准文本"/>
    <w:basedOn w:val="866"/>
    <w:uiPriority w:val="0"/>
    <w:qFormat/>
    <w:pPr>
      <w:ind w:firstLine="480"/>
      <w:spacing w:line="360" w:lineRule="auto"/>
    </w:pPr>
    <w:rPr>
      <w:rFonts w:ascii="Calibri" w:hAnsi="Calibri" w:eastAsia="Calibri" w:cs="宋体"/>
      <w:sz w:val="24"/>
      <w:lang w:val="zh-CN"/>
    </w:rPr>
  </w:style>
  <w:style w:type="character" w:styleId="1118" w:customStyle="1">
    <w:name w:val="标准文本 Char Char"/>
    <w:uiPriority w:val="0"/>
    <w:qFormat/>
    <w:rPr>
      <w:rFonts w:eastAsia="宋体" w:cs="宋体"/>
      <w:sz w:val="24"/>
      <w:szCs w:val="24"/>
      <w:lang w:val="en-US" w:eastAsia="zh-CN" w:bidi="ar-SA"/>
    </w:rPr>
  </w:style>
  <w:style w:type="character" w:styleId="1119" w:customStyle="1">
    <w:name w:val="标准小四 Char Char"/>
    <w:uiPriority w:val="0"/>
    <w:qFormat/>
    <w:rPr>
      <w:rFonts w:ascii="Arial" w:hAnsi="Arial" w:eastAsia="宋体"/>
      <w:sz w:val="24"/>
      <w:szCs w:val="21"/>
      <w:lang w:val="en-US" w:eastAsia="zh-CN" w:bidi="ar-SA"/>
    </w:rPr>
  </w:style>
  <w:style w:type="character" w:styleId="1120" w:customStyle="1">
    <w:name w:val="标准文本 Char"/>
    <w:uiPriority w:val="0"/>
    <w:qFormat/>
    <w:rPr>
      <w:rFonts w:eastAsia="宋体" w:cs="宋体"/>
      <w:sz w:val="24"/>
      <w:szCs w:val="24"/>
      <w:lang w:val="en-US" w:eastAsia="zh-CN" w:bidi="ar-SA"/>
    </w:rPr>
  </w:style>
  <w:style w:type="character" w:styleId="1121" w:customStyle="1">
    <w:name w:val="未处理的提及1"/>
    <w:basedOn w:val="876"/>
    <w:uiPriority w:val="99"/>
    <w:unhideWhenUsed/>
    <w:qFormat/>
    <w:rPr>
      <w:color w:val="605e5c"/>
      <w:shd w:val="clear" w:color="auto" w:fill="e1dfdd"/>
    </w:rPr>
  </w:style>
  <w:style w:type="paragraph" w:styleId="1122" w:customStyle="1">
    <w:name w:val="TOC 标题2"/>
    <w:basedOn w:val="867"/>
    <w:next w:val="866"/>
    <w:uiPriority w:val="39"/>
    <w:unhideWhenUsed/>
    <w:qFormat/>
    <w:pPr>
      <w:ind w:left="0" w:right="0"/>
      <w:jc w:val="left"/>
      <w:spacing w:before="240" w:after="0" w:line="259" w:lineRule="auto"/>
      <w:widowControl/>
      <w:outlineLvl w:val="9"/>
    </w:pPr>
    <w:rPr>
      <w:rFonts w:asciiTheme="majorHAnsi" w:hAnsiTheme="majorHAnsi" w:eastAsiaTheme="majorEastAsia" w:cstheme="majorBidi"/>
      <w:b w:val="0"/>
      <w:bCs w:val="0"/>
      <w:color w:val="2f5597" w:themeColor="accent1" w:themeShade="BF"/>
      <w:sz w:val="32"/>
      <w:szCs w:val="32"/>
    </w:rPr>
  </w:style>
  <w:style w:type="character" w:styleId="1123" w:customStyle="1">
    <w:name w:val="未处理的提及2"/>
    <w:basedOn w:val="876"/>
    <w:uiPriority w:val="99"/>
    <w:unhideWhenUsed/>
    <w:qFormat/>
    <w:rPr>
      <w:color w:val="605e5c"/>
      <w:shd w:val="clear" w:color="auto" w:fill="e1dfdd"/>
    </w:rPr>
  </w:style>
  <w:style w:type="table" w:styleId="1124" w:customStyle="1">
    <w:name w:val="Table Normal"/>
    <w:uiPriority w:val="0"/>
    <w:unhideWhenUsed/>
    <w:qFormat/>
    <w:tblPr>
      <w:tblCellMar>
        <w:left w:w="0" w:type="dxa"/>
        <w:top w:w="0" w:type="dxa"/>
        <w:right w:w="0" w:type="dxa"/>
        <w:bottom w:w="0" w:type="dxa"/>
      </w:tblCellMar>
    </w:tblPr>
  </w:style>
  <w:style w:type="paragraph" w:styleId="1125" w:customStyle="1">
    <w:name w:val="Normal_69b2dde2-ebcd-4b64-8d40-82cb69a0641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126" w:customStyle="1">
    <w:name w:val="Normal_7101aa0d-88a2-483d-a495-a696cf4da48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127" w:customStyle="1">
    <w:name w:val="标题二、"/>
    <w:uiPriority w:val="99"/>
    <w:qFormat/>
    <w:pPr>
      <w:ind w:firstLine="200"/>
      <w:jc w:val="both"/>
      <w:spacing w:line="360" w:lineRule="auto"/>
      <w:widowControl w:val="off"/>
      <w:outlineLvl w:val="2"/>
    </w:pPr>
    <w:rPr>
      <w:rFonts w:ascii="宋体" w:hAnsi="宋体" w:eastAsia="宋体" w:cs="Calibri"/>
      <w:b/>
      <w:sz w:val="21"/>
      <w:szCs w:val="21"/>
      <w:lang w:val="en-US" w:eastAsia="zh-CN" w:bidi="ar-SA"/>
    </w:rPr>
  </w:style>
  <w:style w:type="paragraph" w:styleId="1128" w:customStyle="1">
    <w:name w:val="Normal_1ed0d09b-fe4e-431e-ab7d-a7658382ff65"/>
    <w:next w:val="880"/>
    <w:uiPriority w:val="0"/>
    <w:qFormat/>
    <w:pPr>
      <w:jc w:val="both"/>
      <w:widowControl w:val="off"/>
    </w:pPr>
    <w:rPr>
      <w:rFonts w:ascii="Calibri" w:hAnsi="Calibri" w:eastAsia="宋体" w:cs="Times New Roman"/>
      <w:sz w:val="21"/>
      <w:szCs w:val="24"/>
      <w:lang w:val="en-US" w:eastAsia="zh-CN" w:bidi="ar-SA"/>
    </w:rPr>
  </w:style>
  <w:style w:type="paragraph" w:styleId="1129" w:customStyle="1">
    <w:name w:val="Normal_e6c06f3f-8f30-4f8a-a752-1771f07c732a"/>
    <w:uiPriority w:val="0"/>
    <w:qFormat/>
    <w:pPr>
      <w:jc w:val="both"/>
      <w:widowControl w:val="off"/>
    </w:pPr>
    <w:rPr>
      <w:rFonts w:asciiTheme="minorHAnsi" w:hAnsiTheme="minorHAnsi" w:eastAsiaTheme="minorEastAsia" w:cstheme="minorBidi"/>
      <w:sz w:val="21"/>
      <w:szCs w:val="24"/>
      <w:lang w:val="en-US" w:eastAsia="zh-CN" w:bidi="ar-SA"/>
    </w:rPr>
  </w:style>
  <w:style w:type="table" w:styleId="1130" w:customStyle="1">
    <w:name w:val="Table Grid_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131" w:customStyle="1">
    <w:name w:val="网格型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13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33" w:customStyle="1">
    <w:name w:val="修订2"/>
    <w:hidden/>
    <w:uiPriority w:val="99"/>
    <w:unhideWhenUsed/>
    <w:qFormat/>
    <w:rPr>
      <w:rFonts w:ascii="Times New Roman" w:hAnsi="Times New Roman" w:eastAsia="宋体" w:cs="Times New Roman"/>
      <w:sz w:val="21"/>
      <w:szCs w:val="24"/>
      <w:lang w:val="en-US" w:eastAsia="zh-CN" w:bidi="ar-SA"/>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1880aee2-c651-411b-a50c-34194e303ad3}"/>
        <w:description w:val=""/>
        <w:category>
          <w:name w:val="常规"/>
          <w:gallery w:val="placeholder"/>
        </w:category>
        <w:types>
          <w:type w:val="bbPlcHdr"/>
        </w:types>
        <w:behaviors>
          <w:behavior w:val="content"/>
        </w:behaviors>
        <w:guid w:val="{1880AEE2-C651-411B-A50C-34194E303AD3}"/>
      </w:docPartPr>
      <w:docPartBody>
        <w:p>
          <w:pPr>
            <w:rPr>
              <w:rFonts w:hint="eastAsia"/>
            </w:rPr>
          </w:pPr>
          <w:r>
            <w:rPr>
              <w:rStyle w:val="1798"/>
              <w:rFonts w:hint="eastAsia"/>
            </w:rPr>
            <w:t xml:space="preserve">单击或点击此处输入文字。</w:t>
          </w:r>
          <w:r/>
        </w:p>
      </w:docPartBody>
    </w:docPart>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798"/>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98"/>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99"/>
            <w:rPr>
              <w:rFonts w:hint="eastAsia"/>
            </w:rPr>
          </w:pPr>
          <w:r>
            <w:rPr>
              <w:rStyle w:val="1798"/>
              <w:rFonts w:hint="eastAsia"/>
            </w:rPr>
            <w:t xml:space="preserve">单击或点击此处输入文字。</w:t>
          </w:r>
          <w:r/>
        </w:p>
      </w:docPartBody>
    </w:docPart>
    <w:docPart>
      <w:docPartPr>
        <w:name w:val="719cccd853c1476aaf5878ca02e65ca1"/>
        <w:category>
          <w:name w:val="常规"/>
          <w:gallery w:val="placeholder"/>
        </w:category>
        <w:types>
          <w:type w:val="bbPlcHdr"/>
        </w:types>
        <w:behaviors>
          <w:behavior w:val="content"/>
        </w:behaviors>
      </w:docPartPr>
      <w:docPartBody>
        <w:p>
          <w:pPr>
            <w:rPr>
              <w:rFonts w:hint="eastAsia"/>
            </w:rPr>
          </w:pPr>
          <w:r>
            <w:rPr>
              <w:rStyle w:val="1798"/>
              <w:rFonts w:hint="eastAsia"/>
            </w:rPr>
            <w:t xml:space="preserve">单击或点击此处输入文字。</w:t>
          </w:r>
          <w:r>
            <w:rPr>
              <w:rFonts w:hint="eastAsia"/>
            </w:rPr>
          </w:r>
          <w:r/>
        </w:p>
      </w:docPartBody>
    </w:docPart>
    <w:docPart>
      <w:docPartPr>
        <w:name w:val="27D7AA2F29114E36B8098470AD181CFA"/>
        <w:description w:val=""/>
        <w:category>
          <w:name w:val="常规"/>
          <w:gallery w:val="placeholder"/>
        </w:category>
        <w:types>
          <w:type w:val="bbPlcHdr"/>
        </w:types>
        <w:behaviors>
          <w:behavior w:val="content"/>
        </w:behaviors>
        <w:guid w:val="{D8442143-268B-4652-A51A-C96D61439AD1}"/>
      </w:docPartPr>
      <w:docPartBody>
        <w:p>
          <w:pPr>
            <w:pStyle w:val="1800"/>
            <w:rPr>
              <w:rFonts w:hint="eastAsia"/>
            </w:rPr>
          </w:pPr>
          <w:r>
            <w:rPr>
              <w:rStyle w:val="1798"/>
              <w:rFonts w:hint="eastAsia"/>
            </w:rPr>
            <w:t xml:space="preserve">单击或点击此处输入文字。</w:t>
          </w:r>
          <w:r/>
        </w:p>
      </w:docPartBody>
    </w:docPart>
    <w:docPart>
      <w:docPartPr>
        <w:name w:val="BB191E8D265B432798D54E0A94C3A629"/>
        <w:description w:val=""/>
        <w:category>
          <w:name w:val="常规"/>
          <w:gallery w:val="placeholder"/>
        </w:category>
        <w:types>
          <w:type w:val="bbPlcHdr"/>
        </w:types>
        <w:behaviors>
          <w:behavior w:val="content"/>
        </w:behaviors>
        <w:guid w:val="{399BB5DC-C84B-4DA8-A278-D28F29F178DF}"/>
      </w:docPartPr>
      <w:docPartBody>
        <w:p>
          <w:pPr>
            <w:pStyle w:val="1801"/>
            <w:rPr>
              <w:rFonts w:hint="eastAsia"/>
            </w:rPr>
          </w:pPr>
          <w:r>
            <w:rPr>
              <w:rStyle w:val="1798"/>
              <w:rFonts w:hint="eastAsia"/>
            </w:rPr>
            <w:t xml:space="preserve">单击或点击此处输入文字。</w:t>
          </w:r>
          <w:r/>
        </w:p>
      </w:docPartBody>
    </w:docPart>
    <w:docPart>
      <w:docPartPr>
        <w:name w:val="{933c4291-19e2-415d-9506-dbee5837c814}"/>
        <w:description w:val=""/>
        <w:category>
          <w:name w:val="常规"/>
          <w:gallery w:val="placeholder"/>
        </w:category>
        <w:types>
          <w:type w:val="bbPlcHdr"/>
        </w:types>
        <w:behaviors>
          <w:behavior w:val="content"/>
        </w:behaviors>
        <w:guid w:val="{933C4291-19E2-415D-9506-DBEE5837C814}"/>
      </w:docPartPr>
      <w:docPartBody>
        <w:p>
          <w:pPr>
            <w:rPr>
              <w:rFonts w:hint="eastAsia"/>
            </w:rPr>
          </w:pPr>
          <w:r>
            <w:rPr>
              <w:rStyle w:val="1798"/>
              <w:rFonts w:hint="eastAsia"/>
            </w:rPr>
            <w:t xml:space="preserve">单击或点击此处输入文字。</w:t>
          </w:r>
          <w:r/>
        </w:p>
      </w:docPartBody>
    </w:docPart>
    <w:docPart>
      <w:docPartPr>
        <w:name w:val="{73ad7ce8-926a-4087-a4b7-60e4c7f312b1}"/>
        <w:description w:val=""/>
        <w:category>
          <w:name w:val="常规"/>
          <w:gallery w:val="placeholder"/>
        </w:category>
        <w:types>
          <w:type w:val="bbPlcHdr"/>
        </w:types>
        <w:behaviors>
          <w:behavior w:val="content"/>
        </w:behaviors>
        <w:guid w:val="{73AD7CE8-926A-4087-A4B7-60E4C7F312B1}"/>
      </w:docPartPr>
      <w:docPartBody>
        <w:p>
          <w:pPr>
            <w:rPr>
              <w:rFonts w:hint="eastAsia"/>
            </w:rPr>
          </w:pPr>
          <w:r>
            <w:rPr>
              <w:rStyle w:val="1798"/>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802"/>
            <w:rPr>
              <w:rFonts w:hint="eastAsia"/>
            </w:rPr>
          </w:pPr>
          <w:r>
            <w:rPr>
              <w:rStyle w:val="1798"/>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803"/>
            <w:rPr>
              <w:rFonts w:hint="eastAsia"/>
            </w:rPr>
          </w:pPr>
          <w:r>
            <w:rPr>
              <w:rStyle w:val="179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83">
    <w:name w:val="Heading 1 Char"/>
    <w:basedOn w:val="1635"/>
    <w:link w:val="1626"/>
    <w:uiPriority w:val="9"/>
    <w:rPr>
      <w:rFonts w:ascii="Arial" w:hAnsi="Arial" w:eastAsia="Arial" w:cs="Arial"/>
      <w:sz w:val="40"/>
      <w:szCs w:val="40"/>
    </w:rPr>
  </w:style>
  <w:style w:type="character" w:styleId="1584">
    <w:name w:val="Heading 2 Char"/>
    <w:basedOn w:val="1635"/>
    <w:link w:val="1627"/>
    <w:uiPriority w:val="9"/>
    <w:rPr>
      <w:rFonts w:ascii="Arial" w:hAnsi="Arial" w:eastAsia="Arial" w:cs="Arial"/>
      <w:sz w:val="34"/>
    </w:rPr>
  </w:style>
  <w:style w:type="character" w:styleId="1585">
    <w:name w:val="Heading 3 Char"/>
    <w:basedOn w:val="1635"/>
    <w:link w:val="1628"/>
    <w:uiPriority w:val="9"/>
    <w:rPr>
      <w:rFonts w:ascii="Arial" w:hAnsi="Arial" w:eastAsia="Arial" w:cs="Arial"/>
      <w:sz w:val="30"/>
      <w:szCs w:val="30"/>
    </w:rPr>
  </w:style>
  <w:style w:type="character" w:styleId="1586">
    <w:name w:val="Heading 4 Char"/>
    <w:basedOn w:val="1635"/>
    <w:link w:val="1629"/>
    <w:uiPriority w:val="9"/>
    <w:rPr>
      <w:rFonts w:ascii="Arial" w:hAnsi="Arial" w:eastAsia="Arial" w:cs="Arial"/>
      <w:b/>
      <w:bCs/>
      <w:sz w:val="26"/>
      <w:szCs w:val="26"/>
    </w:rPr>
  </w:style>
  <w:style w:type="character" w:styleId="1587">
    <w:name w:val="Heading 5 Char"/>
    <w:basedOn w:val="1635"/>
    <w:link w:val="1630"/>
    <w:uiPriority w:val="9"/>
    <w:rPr>
      <w:rFonts w:ascii="Arial" w:hAnsi="Arial" w:eastAsia="Arial" w:cs="Arial"/>
      <w:b/>
      <w:bCs/>
      <w:sz w:val="24"/>
      <w:szCs w:val="24"/>
    </w:rPr>
  </w:style>
  <w:style w:type="character" w:styleId="1588">
    <w:name w:val="Heading 6 Char"/>
    <w:basedOn w:val="1635"/>
    <w:link w:val="1631"/>
    <w:uiPriority w:val="9"/>
    <w:rPr>
      <w:rFonts w:ascii="Arial" w:hAnsi="Arial" w:eastAsia="Arial" w:cs="Arial"/>
      <w:b/>
      <w:bCs/>
      <w:sz w:val="22"/>
      <w:szCs w:val="22"/>
    </w:rPr>
  </w:style>
  <w:style w:type="character" w:styleId="1589">
    <w:name w:val="Heading 7 Char"/>
    <w:basedOn w:val="1635"/>
    <w:link w:val="1632"/>
    <w:uiPriority w:val="9"/>
    <w:rPr>
      <w:rFonts w:ascii="Arial" w:hAnsi="Arial" w:eastAsia="Arial" w:cs="Arial"/>
      <w:b/>
      <w:bCs/>
      <w:i/>
      <w:iCs/>
      <w:sz w:val="22"/>
      <w:szCs w:val="22"/>
    </w:rPr>
  </w:style>
  <w:style w:type="character" w:styleId="1590">
    <w:name w:val="Heading 8 Char"/>
    <w:basedOn w:val="1635"/>
    <w:link w:val="1633"/>
    <w:uiPriority w:val="9"/>
    <w:rPr>
      <w:rFonts w:ascii="Arial" w:hAnsi="Arial" w:eastAsia="Arial" w:cs="Arial"/>
      <w:i/>
      <w:iCs/>
      <w:sz w:val="22"/>
      <w:szCs w:val="22"/>
    </w:rPr>
  </w:style>
  <w:style w:type="character" w:styleId="1591">
    <w:name w:val="Heading 9 Char"/>
    <w:basedOn w:val="1635"/>
    <w:link w:val="1634"/>
    <w:uiPriority w:val="9"/>
    <w:rPr>
      <w:rFonts w:ascii="Arial" w:hAnsi="Arial" w:eastAsia="Arial" w:cs="Arial"/>
      <w:i/>
      <w:iCs/>
      <w:sz w:val="21"/>
      <w:szCs w:val="21"/>
    </w:rPr>
  </w:style>
  <w:style w:type="paragraph" w:styleId="1592">
    <w:name w:val="List Paragraph"/>
    <w:basedOn w:val="1625"/>
    <w:uiPriority w:val="34"/>
    <w:qFormat/>
    <w:pPr>
      <w:contextualSpacing/>
      <w:ind w:left="720"/>
    </w:pPr>
  </w:style>
  <w:style w:type="paragraph" w:styleId="1593">
    <w:name w:val="No Spacing"/>
    <w:uiPriority w:val="1"/>
    <w:qFormat/>
    <w:pPr>
      <w:spacing w:before="0" w:after="0" w:line="240" w:lineRule="auto"/>
    </w:pPr>
  </w:style>
  <w:style w:type="character" w:styleId="1594">
    <w:name w:val="Title Char"/>
    <w:basedOn w:val="1635"/>
    <w:link w:val="1646"/>
    <w:uiPriority w:val="10"/>
    <w:rPr>
      <w:sz w:val="48"/>
      <w:szCs w:val="48"/>
    </w:rPr>
  </w:style>
  <w:style w:type="character" w:styleId="1595">
    <w:name w:val="Subtitle Char"/>
    <w:basedOn w:val="1635"/>
    <w:link w:val="1648"/>
    <w:uiPriority w:val="11"/>
    <w:rPr>
      <w:sz w:val="24"/>
      <w:szCs w:val="24"/>
    </w:rPr>
  </w:style>
  <w:style w:type="paragraph" w:styleId="1596">
    <w:name w:val="Quote"/>
    <w:basedOn w:val="1625"/>
    <w:next w:val="1625"/>
    <w:link w:val="1597"/>
    <w:uiPriority w:val="29"/>
    <w:qFormat/>
    <w:pPr>
      <w:ind w:left="720" w:right="720"/>
    </w:pPr>
    <w:rPr>
      <w:i/>
    </w:rPr>
  </w:style>
  <w:style w:type="character" w:styleId="1597">
    <w:name w:val="Quote Char"/>
    <w:link w:val="1596"/>
    <w:uiPriority w:val="29"/>
    <w:rPr>
      <w:i/>
    </w:rPr>
  </w:style>
  <w:style w:type="paragraph" w:styleId="1598">
    <w:name w:val="Intense Quote"/>
    <w:basedOn w:val="1625"/>
    <w:next w:val="1625"/>
    <w:link w:val="15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99">
    <w:name w:val="Intense Quote Char"/>
    <w:link w:val="1598"/>
    <w:uiPriority w:val="30"/>
    <w:rPr>
      <w:i/>
    </w:rPr>
  </w:style>
  <w:style w:type="character" w:styleId="1600">
    <w:name w:val="Header Char"/>
    <w:basedOn w:val="1635"/>
    <w:link w:val="1650"/>
    <w:uiPriority w:val="99"/>
  </w:style>
  <w:style w:type="character" w:styleId="1601">
    <w:name w:val="Footer Char"/>
    <w:basedOn w:val="1635"/>
    <w:link w:val="1652"/>
    <w:uiPriority w:val="99"/>
  </w:style>
  <w:style w:type="character" w:styleId="1602">
    <w:name w:val="Caption Char"/>
    <w:basedOn w:val="1653"/>
    <w:link w:val="1652"/>
    <w:uiPriority w:val="99"/>
  </w:style>
  <w:style w:type="table" w:styleId="1603">
    <w:name w:val="Plain Table 1"/>
    <w:basedOn w:val="16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04">
    <w:name w:val="Plain Table 2"/>
    <w:basedOn w:val="16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05">
    <w:name w:val="Plain Table 3"/>
    <w:basedOn w:val="1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06">
    <w:name w:val="Plain Table 4"/>
    <w:basedOn w:val="1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07">
    <w:name w:val="Plain Table 5"/>
    <w:basedOn w:val="1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08">
    <w:name w:val="Grid Table 1 Light"/>
    <w:basedOn w:val="16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09">
    <w:name w:val="Grid Table 2"/>
    <w:basedOn w:val="16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10">
    <w:name w:val="Grid Table 3"/>
    <w:basedOn w:val="16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11">
    <w:name w:val="Grid Table 4"/>
    <w:basedOn w:val="16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2">
    <w:name w:val="Grid Table 5 Dark"/>
    <w:basedOn w:val="1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13">
    <w:name w:val="Grid Table 6 Colorful"/>
    <w:basedOn w:val="16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14">
    <w:name w:val="Grid Table 7 Colorful"/>
    <w:basedOn w:val="16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15">
    <w:name w:val="List Table 1 Light"/>
    <w:basedOn w:val="16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6">
    <w:name w:val="List Table 2"/>
    <w:basedOn w:val="16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17">
    <w:name w:val="List Table 3"/>
    <w:basedOn w:val="16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18">
    <w:name w:val="List Table 4"/>
    <w:basedOn w:val="16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19">
    <w:name w:val="List Table 5 Dark"/>
    <w:basedOn w:val="16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20">
    <w:name w:val="List Table 6 Colorful"/>
    <w:basedOn w:val="16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21">
    <w:name w:val="List Table 7 Colorful"/>
    <w:basedOn w:val="16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622">
    <w:name w:val="Footnote Text Char"/>
    <w:link w:val="1782"/>
    <w:uiPriority w:val="99"/>
    <w:rPr>
      <w:sz w:val="18"/>
    </w:rPr>
  </w:style>
  <w:style w:type="character" w:styleId="1623">
    <w:name w:val="Endnote Text Char"/>
    <w:link w:val="1785"/>
    <w:uiPriority w:val="99"/>
    <w:rPr>
      <w:sz w:val="20"/>
    </w:rPr>
  </w:style>
  <w:style w:type="paragraph" w:styleId="1624">
    <w:name w:val="TOC Heading"/>
    <w:uiPriority w:val="39"/>
    <w:unhideWhenUsed/>
  </w:style>
  <w:style w:type="paragraph" w:styleId="162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6">
    <w:name w:val="Heading 1"/>
    <w:basedOn w:val="1625"/>
    <w:next w:val="1625"/>
    <w:link w:val="1637"/>
    <w:uiPriority w:val="9"/>
    <w:qFormat/>
    <w:pPr>
      <w:keepLines/>
      <w:keepNext/>
      <w:spacing w:before="480" w:after="200"/>
      <w:outlineLvl w:val="0"/>
    </w:pPr>
    <w:rPr>
      <w:rFonts w:ascii="Arial" w:hAnsi="Arial" w:eastAsia="Arial" w:cs="Arial"/>
      <w:sz w:val="40"/>
      <w:szCs w:val="40"/>
    </w:rPr>
  </w:style>
  <w:style w:type="paragraph" w:styleId="1627">
    <w:name w:val="Heading 2"/>
    <w:basedOn w:val="1625"/>
    <w:next w:val="1625"/>
    <w:link w:val="1638"/>
    <w:uiPriority w:val="9"/>
    <w:unhideWhenUsed/>
    <w:qFormat/>
    <w:pPr>
      <w:keepLines/>
      <w:keepNext/>
      <w:spacing w:before="360" w:after="200"/>
      <w:outlineLvl w:val="1"/>
    </w:pPr>
    <w:rPr>
      <w:rFonts w:ascii="Arial" w:hAnsi="Arial" w:eastAsia="Arial" w:cs="Arial"/>
      <w:sz w:val="34"/>
    </w:rPr>
  </w:style>
  <w:style w:type="paragraph" w:styleId="1628">
    <w:name w:val="Heading 3"/>
    <w:basedOn w:val="1625"/>
    <w:next w:val="1625"/>
    <w:link w:val="1639"/>
    <w:uiPriority w:val="9"/>
    <w:unhideWhenUsed/>
    <w:qFormat/>
    <w:pPr>
      <w:keepLines/>
      <w:keepNext/>
      <w:spacing w:before="320" w:after="200"/>
      <w:outlineLvl w:val="2"/>
    </w:pPr>
    <w:rPr>
      <w:rFonts w:ascii="Arial" w:hAnsi="Arial" w:eastAsia="Arial" w:cs="Arial"/>
      <w:sz w:val="30"/>
      <w:szCs w:val="30"/>
    </w:rPr>
  </w:style>
  <w:style w:type="paragraph" w:styleId="1629">
    <w:name w:val="Heading 4"/>
    <w:basedOn w:val="1625"/>
    <w:next w:val="1625"/>
    <w:link w:val="1640"/>
    <w:uiPriority w:val="9"/>
    <w:unhideWhenUsed/>
    <w:qFormat/>
    <w:pPr>
      <w:keepLines/>
      <w:keepNext/>
      <w:spacing w:before="320" w:after="200"/>
      <w:outlineLvl w:val="3"/>
    </w:pPr>
    <w:rPr>
      <w:rFonts w:ascii="Arial" w:hAnsi="Arial" w:eastAsia="Arial" w:cs="Arial"/>
      <w:b/>
      <w:bCs/>
      <w:sz w:val="26"/>
      <w:szCs w:val="26"/>
    </w:rPr>
  </w:style>
  <w:style w:type="paragraph" w:styleId="1630">
    <w:name w:val="Heading 5"/>
    <w:basedOn w:val="1625"/>
    <w:next w:val="1625"/>
    <w:link w:val="1641"/>
    <w:uiPriority w:val="9"/>
    <w:unhideWhenUsed/>
    <w:qFormat/>
    <w:pPr>
      <w:keepLines/>
      <w:keepNext/>
      <w:spacing w:before="320" w:after="200"/>
      <w:outlineLvl w:val="4"/>
    </w:pPr>
    <w:rPr>
      <w:rFonts w:ascii="Arial" w:hAnsi="Arial" w:eastAsia="Arial" w:cs="Arial"/>
      <w:b/>
      <w:bCs/>
      <w:sz w:val="24"/>
      <w:szCs w:val="24"/>
    </w:rPr>
  </w:style>
  <w:style w:type="paragraph" w:styleId="1631">
    <w:name w:val="Heading 6"/>
    <w:basedOn w:val="1625"/>
    <w:next w:val="1625"/>
    <w:link w:val="1642"/>
    <w:uiPriority w:val="9"/>
    <w:unhideWhenUsed/>
    <w:qFormat/>
    <w:pPr>
      <w:keepLines/>
      <w:keepNext/>
      <w:spacing w:before="320" w:after="200"/>
      <w:outlineLvl w:val="5"/>
    </w:pPr>
    <w:rPr>
      <w:rFonts w:ascii="Arial" w:hAnsi="Arial" w:eastAsia="Arial" w:cs="Arial"/>
      <w:b/>
      <w:bCs/>
      <w:sz w:val="22"/>
    </w:rPr>
  </w:style>
  <w:style w:type="paragraph" w:styleId="1632">
    <w:name w:val="Heading 7"/>
    <w:basedOn w:val="1625"/>
    <w:next w:val="1625"/>
    <w:link w:val="1643"/>
    <w:uiPriority w:val="9"/>
    <w:unhideWhenUsed/>
    <w:qFormat/>
    <w:pPr>
      <w:keepLines/>
      <w:keepNext/>
      <w:spacing w:before="320" w:after="200"/>
      <w:outlineLvl w:val="6"/>
    </w:pPr>
    <w:rPr>
      <w:rFonts w:ascii="Arial" w:hAnsi="Arial" w:eastAsia="Arial" w:cs="Arial"/>
      <w:b/>
      <w:bCs/>
      <w:i/>
      <w:iCs/>
      <w:sz w:val="22"/>
    </w:rPr>
  </w:style>
  <w:style w:type="paragraph" w:styleId="1633">
    <w:name w:val="Heading 8"/>
    <w:basedOn w:val="1625"/>
    <w:next w:val="1625"/>
    <w:link w:val="1644"/>
    <w:uiPriority w:val="9"/>
    <w:unhideWhenUsed/>
    <w:qFormat/>
    <w:pPr>
      <w:keepLines/>
      <w:keepNext/>
      <w:spacing w:before="320" w:after="200"/>
      <w:outlineLvl w:val="7"/>
    </w:pPr>
    <w:rPr>
      <w:rFonts w:ascii="Arial" w:hAnsi="Arial" w:eastAsia="Arial" w:cs="Arial"/>
      <w:i/>
      <w:iCs/>
      <w:sz w:val="22"/>
    </w:rPr>
  </w:style>
  <w:style w:type="paragraph" w:styleId="1634">
    <w:name w:val="Heading 9"/>
    <w:basedOn w:val="1625"/>
    <w:next w:val="1625"/>
    <w:link w:val="1645"/>
    <w:uiPriority w:val="9"/>
    <w:unhideWhenUsed/>
    <w:qFormat/>
    <w:pPr>
      <w:keepLines/>
      <w:keepNext/>
      <w:spacing w:before="320" w:after="200"/>
      <w:outlineLvl w:val="8"/>
    </w:pPr>
    <w:rPr>
      <w:rFonts w:ascii="Arial" w:hAnsi="Arial" w:eastAsia="Arial" w:cs="Arial"/>
      <w:i/>
      <w:iCs/>
      <w:szCs w:val="21"/>
    </w:rPr>
  </w:style>
  <w:style w:type="character" w:styleId="1635" w:default="1">
    <w:name w:val="Default Paragraph Font"/>
    <w:uiPriority w:val="1"/>
    <w:semiHidden/>
    <w:unhideWhenUsed/>
    <w:qFormat/>
  </w:style>
  <w:style w:type="table" w:styleId="1636" w:default="1">
    <w:name w:val="Normal Table"/>
    <w:uiPriority w:val="99"/>
    <w:semiHidden/>
    <w:unhideWhenUsed/>
    <w:qFormat/>
    <w:tblPr>
      <w:tblCellMar>
        <w:left w:w="108" w:type="dxa"/>
        <w:top w:w="0" w:type="dxa"/>
        <w:right w:w="108" w:type="dxa"/>
        <w:bottom w:w="0" w:type="dxa"/>
      </w:tblCellMar>
    </w:tblPr>
  </w:style>
  <w:style w:type="character" w:styleId="1637" w:customStyle="1">
    <w:name w:val="标题 1 字符"/>
    <w:basedOn w:val="1635"/>
    <w:link w:val="1626"/>
    <w:uiPriority w:val="9"/>
    <w:qFormat/>
    <w:rPr>
      <w:rFonts w:ascii="Arial" w:hAnsi="Arial" w:eastAsia="Arial" w:cs="Arial"/>
      <w:sz w:val="40"/>
      <w:szCs w:val="40"/>
    </w:rPr>
  </w:style>
  <w:style w:type="character" w:styleId="1638" w:customStyle="1">
    <w:name w:val="标题 2 字符"/>
    <w:basedOn w:val="1635"/>
    <w:link w:val="1627"/>
    <w:uiPriority w:val="9"/>
    <w:qFormat/>
    <w:rPr>
      <w:rFonts w:ascii="Arial" w:hAnsi="Arial" w:eastAsia="Arial" w:cs="Arial"/>
      <w:sz w:val="34"/>
    </w:rPr>
  </w:style>
  <w:style w:type="character" w:styleId="1639" w:customStyle="1">
    <w:name w:val="标题 3 字符"/>
    <w:basedOn w:val="1635"/>
    <w:link w:val="1628"/>
    <w:uiPriority w:val="9"/>
    <w:qFormat/>
    <w:rPr>
      <w:rFonts w:ascii="Arial" w:hAnsi="Arial" w:eastAsia="Arial" w:cs="Arial"/>
      <w:sz w:val="30"/>
      <w:szCs w:val="30"/>
    </w:rPr>
  </w:style>
  <w:style w:type="character" w:styleId="1640" w:customStyle="1">
    <w:name w:val="标题 4 字符"/>
    <w:basedOn w:val="1635"/>
    <w:link w:val="1629"/>
    <w:uiPriority w:val="9"/>
    <w:qFormat/>
    <w:rPr>
      <w:rFonts w:ascii="Arial" w:hAnsi="Arial" w:eastAsia="Arial" w:cs="Arial"/>
      <w:b/>
      <w:bCs/>
      <w:sz w:val="26"/>
      <w:szCs w:val="26"/>
    </w:rPr>
  </w:style>
  <w:style w:type="character" w:styleId="1641" w:customStyle="1">
    <w:name w:val="标题 5 字符"/>
    <w:basedOn w:val="1635"/>
    <w:link w:val="1630"/>
    <w:uiPriority w:val="9"/>
    <w:qFormat/>
    <w:rPr>
      <w:rFonts w:ascii="Arial" w:hAnsi="Arial" w:eastAsia="Arial" w:cs="Arial"/>
      <w:b/>
      <w:bCs/>
      <w:sz w:val="24"/>
      <w:szCs w:val="24"/>
    </w:rPr>
  </w:style>
  <w:style w:type="character" w:styleId="1642" w:customStyle="1">
    <w:name w:val="标题 6 字符"/>
    <w:basedOn w:val="1635"/>
    <w:link w:val="1631"/>
    <w:uiPriority w:val="9"/>
    <w:qFormat/>
    <w:rPr>
      <w:rFonts w:ascii="Arial" w:hAnsi="Arial" w:eastAsia="Arial" w:cs="Arial"/>
      <w:b/>
      <w:bCs/>
      <w:sz w:val="22"/>
      <w:szCs w:val="22"/>
    </w:rPr>
  </w:style>
  <w:style w:type="character" w:styleId="1643" w:customStyle="1">
    <w:name w:val="标题 7 字符"/>
    <w:basedOn w:val="1635"/>
    <w:link w:val="1632"/>
    <w:uiPriority w:val="9"/>
    <w:qFormat/>
    <w:rPr>
      <w:rFonts w:ascii="Arial" w:hAnsi="Arial" w:eastAsia="Arial" w:cs="Arial"/>
      <w:b/>
      <w:bCs/>
      <w:i/>
      <w:iCs/>
      <w:sz w:val="22"/>
      <w:szCs w:val="22"/>
    </w:rPr>
  </w:style>
  <w:style w:type="character" w:styleId="1644" w:customStyle="1">
    <w:name w:val="标题 8 字符"/>
    <w:basedOn w:val="1635"/>
    <w:link w:val="1633"/>
    <w:uiPriority w:val="9"/>
    <w:qFormat/>
    <w:rPr>
      <w:rFonts w:ascii="Arial" w:hAnsi="Arial" w:eastAsia="Arial" w:cs="Arial"/>
      <w:i/>
      <w:iCs/>
      <w:sz w:val="22"/>
      <w:szCs w:val="22"/>
    </w:rPr>
  </w:style>
  <w:style w:type="character" w:styleId="1645" w:customStyle="1">
    <w:name w:val="标题 9 字符"/>
    <w:basedOn w:val="1635"/>
    <w:link w:val="1634"/>
    <w:uiPriority w:val="9"/>
    <w:qFormat/>
    <w:rPr>
      <w:rFonts w:ascii="Arial" w:hAnsi="Arial" w:eastAsia="Arial" w:cs="Arial"/>
      <w:i/>
      <w:iCs/>
      <w:sz w:val="21"/>
      <w:szCs w:val="21"/>
    </w:rPr>
  </w:style>
  <w:style w:type="paragraph" w:styleId="1646">
    <w:name w:val="Title"/>
    <w:basedOn w:val="1625"/>
    <w:next w:val="1625"/>
    <w:link w:val="1647"/>
    <w:uiPriority w:val="10"/>
    <w:qFormat/>
    <w:pPr>
      <w:contextualSpacing/>
      <w:spacing w:before="300" w:after="200"/>
    </w:pPr>
    <w:rPr>
      <w:sz w:val="48"/>
      <w:szCs w:val="48"/>
    </w:rPr>
  </w:style>
  <w:style w:type="character" w:styleId="1647" w:customStyle="1">
    <w:name w:val="标题 字符"/>
    <w:basedOn w:val="1635"/>
    <w:link w:val="1646"/>
    <w:uiPriority w:val="10"/>
    <w:qFormat/>
    <w:rPr>
      <w:sz w:val="48"/>
      <w:szCs w:val="48"/>
    </w:rPr>
  </w:style>
  <w:style w:type="paragraph" w:styleId="1648">
    <w:name w:val="Subtitle"/>
    <w:basedOn w:val="1625"/>
    <w:next w:val="1625"/>
    <w:link w:val="1649"/>
    <w:uiPriority w:val="11"/>
    <w:qFormat/>
    <w:pPr>
      <w:spacing w:before="200" w:after="200"/>
    </w:pPr>
    <w:rPr>
      <w:sz w:val="24"/>
      <w:szCs w:val="24"/>
    </w:rPr>
  </w:style>
  <w:style w:type="character" w:styleId="1649" w:customStyle="1">
    <w:name w:val="副标题 字符"/>
    <w:basedOn w:val="1635"/>
    <w:link w:val="1648"/>
    <w:uiPriority w:val="11"/>
    <w:qFormat/>
    <w:rPr>
      <w:sz w:val="24"/>
      <w:szCs w:val="24"/>
    </w:rPr>
  </w:style>
  <w:style w:type="paragraph" w:styleId="1650">
    <w:name w:val="Header"/>
    <w:basedOn w:val="1625"/>
    <w:link w:val="1651"/>
    <w:uiPriority w:val="99"/>
    <w:unhideWhenUsed/>
    <w:qFormat/>
    <w:pPr>
      <w:tabs>
        <w:tab w:val="center" w:pos="7143" w:leader="none"/>
        <w:tab w:val="right" w:pos="14287" w:leader="none"/>
      </w:tabs>
    </w:pPr>
  </w:style>
  <w:style w:type="character" w:styleId="1651" w:customStyle="1">
    <w:name w:val="页眉 字符"/>
    <w:basedOn w:val="1635"/>
    <w:link w:val="1650"/>
    <w:uiPriority w:val="99"/>
    <w:qFormat/>
  </w:style>
  <w:style w:type="paragraph" w:styleId="1652">
    <w:name w:val="Footer"/>
    <w:basedOn w:val="1625"/>
    <w:link w:val="1654"/>
    <w:uiPriority w:val="99"/>
    <w:unhideWhenUsed/>
    <w:qFormat/>
    <w:pPr>
      <w:tabs>
        <w:tab w:val="center" w:pos="7143" w:leader="none"/>
        <w:tab w:val="right" w:pos="14287" w:leader="none"/>
      </w:tabs>
    </w:pPr>
  </w:style>
  <w:style w:type="paragraph" w:styleId="1653">
    <w:name w:val="Caption"/>
    <w:basedOn w:val="1625"/>
    <w:next w:val="1625"/>
    <w:uiPriority w:val="35"/>
    <w:unhideWhenUsed/>
    <w:qFormat/>
    <w:pPr>
      <w:spacing w:line="276" w:lineRule="auto"/>
    </w:pPr>
    <w:rPr>
      <w:b/>
      <w:bCs/>
      <w:color w:val="4472c4" w:themeColor="accent1"/>
      <w:sz w:val="18"/>
      <w:szCs w:val="18"/>
      <w14:textFill>
        <w14:solidFill>
          <w14:schemeClr w14:val="accent1"/>
        </w14:solidFill>
      </w14:textFill>
    </w:rPr>
  </w:style>
  <w:style w:type="character" w:styleId="1654" w:customStyle="1">
    <w:name w:val="页脚 字符"/>
    <w:link w:val="1652"/>
    <w:uiPriority w:val="99"/>
    <w:qFormat/>
  </w:style>
  <w:style w:type="table" w:styleId="1655">
    <w:name w:val="Table Grid"/>
    <w:basedOn w:val="16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Table Grid Light"/>
    <w:basedOn w:val="16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657" w:customStyle="1">
    <w:name w:val="无格式表格 11"/>
    <w:basedOn w:val="16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8" w:customStyle="1">
    <w:name w:val="无格式表格 21"/>
    <w:basedOn w:val="16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9" w:customStyle="1">
    <w:name w:val="无格式表格 31"/>
    <w:basedOn w:val="16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0" w:customStyle="1">
    <w:name w:val="无格式表格 41"/>
    <w:basedOn w:val="16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61" w:customStyle="1">
    <w:name w:val="无格式表格 51"/>
    <w:basedOn w:val="16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62" w:customStyle="1">
    <w:name w:val="网格表 1 浅色1"/>
    <w:basedOn w:val="16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63" w:customStyle="1">
    <w:name w:val="Grid Table 1 Light - Accent 1"/>
    <w:basedOn w:val="163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64" w:customStyle="1">
    <w:name w:val="Grid Table 1 Light - Accent 2"/>
    <w:basedOn w:val="16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65" w:customStyle="1">
    <w:name w:val="Grid Table 1 Light - Accent 3"/>
    <w:basedOn w:val="16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66" w:customStyle="1">
    <w:name w:val="Grid Table 1 Light - Accent 4"/>
    <w:basedOn w:val="16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67" w:customStyle="1">
    <w:name w:val="Grid Table 1 Light - Accent 5"/>
    <w:basedOn w:val="163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68" w:customStyle="1">
    <w:name w:val="Grid Table 1 Light - Accent 6"/>
    <w:basedOn w:val="16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69" w:customStyle="1">
    <w:name w:val="网格表 21"/>
    <w:basedOn w:val="16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0" w:customStyle="1">
    <w:name w:val="Grid Table 2 - Accent 1"/>
    <w:basedOn w:val="163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71" w:customStyle="1">
    <w:name w:val="Grid Table 2 - Accent 2"/>
    <w:basedOn w:val="16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72" w:customStyle="1">
    <w:name w:val="Grid Table 2 - Accent 3"/>
    <w:basedOn w:val="16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73" w:customStyle="1">
    <w:name w:val="Grid Table 2 - Accent 4"/>
    <w:basedOn w:val="16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74" w:customStyle="1">
    <w:name w:val="Grid Table 2 - Accent 5"/>
    <w:basedOn w:val="163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75" w:customStyle="1">
    <w:name w:val="Grid Table 2 - Accent 6"/>
    <w:basedOn w:val="16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76" w:customStyle="1">
    <w:name w:val="网格表 31"/>
    <w:basedOn w:val="16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7" w:customStyle="1">
    <w:name w:val="Grid Table 3 - Accent 1"/>
    <w:basedOn w:val="163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8" w:customStyle="1">
    <w:name w:val="Grid Table 3 - Accent 2"/>
    <w:basedOn w:val="16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9" w:customStyle="1">
    <w:name w:val="Grid Table 3 - Accent 3"/>
    <w:basedOn w:val="16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0" w:customStyle="1">
    <w:name w:val="Grid Table 3 - Accent 4"/>
    <w:basedOn w:val="16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1" w:customStyle="1">
    <w:name w:val="Grid Table 3 - Accent 5"/>
    <w:basedOn w:val="163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2" w:customStyle="1">
    <w:name w:val="Grid Table 3 - Accent 6"/>
    <w:basedOn w:val="16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3" w:customStyle="1">
    <w:name w:val="网格表 41"/>
    <w:basedOn w:val="16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84" w:customStyle="1">
    <w:name w:val="Grid Table 4 - Accent 1"/>
    <w:basedOn w:val="163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85" w:customStyle="1">
    <w:name w:val="Grid Table 4 - Accent 2"/>
    <w:basedOn w:val="16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86" w:customStyle="1">
    <w:name w:val="Grid Table 4 - Accent 3"/>
    <w:basedOn w:val="16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87" w:customStyle="1">
    <w:name w:val="Grid Table 4 - Accent 4"/>
    <w:basedOn w:val="16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88" w:customStyle="1">
    <w:name w:val="Grid Table 4 - Accent 5"/>
    <w:basedOn w:val="163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89" w:customStyle="1">
    <w:name w:val="Grid Table 4 - Accent 6"/>
    <w:basedOn w:val="16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90" w:customStyle="1">
    <w:name w:val="网格表 5 深色1"/>
    <w:basedOn w:val="16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91" w:customStyle="1">
    <w:name w:val="Grid Table 5 Dark- Accent 1"/>
    <w:basedOn w:val="16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92" w:customStyle="1">
    <w:name w:val="Grid Table 5 Dark - Accent 2"/>
    <w:basedOn w:val="16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93" w:customStyle="1">
    <w:name w:val="Grid Table 5 Dark - Accent 3"/>
    <w:basedOn w:val="16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94" w:customStyle="1">
    <w:name w:val="Grid Table 5 Dark- Accent 4"/>
    <w:basedOn w:val="16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95" w:customStyle="1">
    <w:name w:val="Grid Table 5 Dark - Accent 5"/>
    <w:basedOn w:val="16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96" w:customStyle="1">
    <w:name w:val="Grid Table 5 Dark - Accent 6"/>
    <w:basedOn w:val="16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97" w:customStyle="1">
    <w:name w:val="网格表 6 彩色1"/>
    <w:basedOn w:val="16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98" w:customStyle="1">
    <w:name w:val="Grid Table 6 Colorful - Accent 1"/>
    <w:basedOn w:val="163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99" w:customStyle="1">
    <w:name w:val="Grid Table 6 Colorful - Accent 2"/>
    <w:basedOn w:val="16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00" w:customStyle="1">
    <w:name w:val="Grid Table 6 Colorful - Accent 3"/>
    <w:basedOn w:val="16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701" w:customStyle="1">
    <w:name w:val="Grid Table 6 Colorful - Accent 4"/>
    <w:basedOn w:val="16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02" w:customStyle="1">
    <w:name w:val="Grid Table 6 Colorful - Accent 5"/>
    <w:basedOn w:val="163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03" w:customStyle="1">
    <w:name w:val="Grid Table 6 Colorful - Accent 6"/>
    <w:basedOn w:val="16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04" w:customStyle="1">
    <w:name w:val="网格表 7 彩色1"/>
    <w:basedOn w:val="16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05" w:customStyle="1">
    <w:name w:val="Grid Table 7 Colorful - Accent 1"/>
    <w:basedOn w:val="163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706" w:customStyle="1">
    <w:name w:val="Grid Table 7 Colorful - Accent 2"/>
    <w:basedOn w:val="16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07" w:customStyle="1">
    <w:name w:val="Grid Table 7 Colorful - Accent 3"/>
    <w:basedOn w:val="16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708" w:customStyle="1">
    <w:name w:val="Grid Table 7 Colorful - Accent 4"/>
    <w:basedOn w:val="16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09" w:customStyle="1">
    <w:name w:val="Grid Table 7 Colorful - Accent 5"/>
    <w:basedOn w:val="163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710" w:customStyle="1">
    <w:name w:val="Grid Table 7 Colorful - Accent 6"/>
    <w:basedOn w:val="16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711" w:customStyle="1">
    <w:name w:val="清单表 1 浅色1"/>
    <w:basedOn w:val="16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12" w:customStyle="1">
    <w:name w:val="List Table 1 Light - Accent 1"/>
    <w:basedOn w:val="163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713" w:customStyle="1">
    <w:name w:val="List Table 1 Light - Accent 2"/>
    <w:basedOn w:val="16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714" w:customStyle="1">
    <w:name w:val="List Table 1 Light - Accent 3"/>
    <w:basedOn w:val="16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715" w:customStyle="1">
    <w:name w:val="List Table 1 Light - Accent 4"/>
    <w:basedOn w:val="163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716" w:customStyle="1">
    <w:name w:val="List Table 1 Light - Accent 5"/>
    <w:basedOn w:val="163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717" w:customStyle="1">
    <w:name w:val="List Table 1 Light - Accent 6"/>
    <w:basedOn w:val="16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18" w:customStyle="1">
    <w:name w:val="清单表 21"/>
    <w:basedOn w:val="16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9" w:customStyle="1">
    <w:name w:val="List Table 2 - Accent 1"/>
    <w:basedOn w:val="163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20" w:customStyle="1">
    <w:name w:val="List Table 2 - Accent 2"/>
    <w:basedOn w:val="16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21" w:customStyle="1">
    <w:name w:val="List Table 2 - Accent 3"/>
    <w:basedOn w:val="16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22" w:customStyle="1">
    <w:name w:val="List Table 2 - Accent 4"/>
    <w:basedOn w:val="16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23" w:customStyle="1">
    <w:name w:val="List Table 2 - Accent 5"/>
    <w:basedOn w:val="163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24" w:customStyle="1">
    <w:name w:val="List Table 2 - Accent 6"/>
    <w:basedOn w:val="16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25" w:customStyle="1">
    <w:name w:val="清单表 31"/>
    <w:basedOn w:val="16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6" w:customStyle="1">
    <w:name w:val="List Table 3 - Accent 1"/>
    <w:basedOn w:val="163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27" w:customStyle="1">
    <w:name w:val="List Table 3 - Accent 2"/>
    <w:basedOn w:val="16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28" w:customStyle="1">
    <w:name w:val="List Table 3 - Accent 3"/>
    <w:basedOn w:val="16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29" w:customStyle="1">
    <w:name w:val="List Table 3 - Accent 4"/>
    <w:basedOn w:val="16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30" w:customStyle="1">
    <w:name w:val="List Table 3 - Accent 5"/>
    <w:basedOn w:val="163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31" w:customStyle="1">
    <w:name w:val="List Table 3 - Accent 6"/>
    <w:basedOn w:val="16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32" w:customStyle="1">
    <w:name w:val="清单表 41"/>
    <w:basedOn w:val="16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3" w:customStyle="1">
    <w:name w:val="List Table 4 - Accent 1"/>
    <w:basedOn w:val="163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34" w:customStyle="1">
    <w:name w:val="List Table 4 - Accent 2"/>
    <w:basedOn w:val="16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35" w:customStyle="1">
    <w:name w:val="List Table 4 - Accent 3"/>
    <w:basedOn w:val="16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36" w:customStyle="1">
    <w:name w:val="List Table 4 - Accent 4"/>
    <w:basedOn w:val="16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37" w:customStyle="1">
    <w:name w:val="List Table 4 - Accent 5"/>
    <w:basedOn w:val="163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38" w:customStyle="1">
    <w:name w:val="List Table 4 - Accent 6"/>
    <w:basedOn w:val="16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39" w:customStyle="1">
    <w:name w:val="清单表 5 深色1"/>
    <w:basedOn w:val="16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0" w:customStyle="1">
    <w:name w:val="List Table 5 Dark - Accent 1"/>
    <w:basedOn w:val="163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1" w:customStyle="1">
    <w:name w:val="List Table 5 Dark - Accent 2"/>
    <w:basedOn w:val="16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2" w:customStyle="1">
    <w:name w:val="List Table 5 Dark - Accent 3"/>
    <w:basedOn w:val="16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3" w:customStyle="1">
    <w:name w:val="List Table 5 Dark - Accent 4"/>
    <w:basedOn w:val="16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4" w:customStyle="1">
    <w:name w:val="List Table 5 Dark - Accent 5"/>
    <w:basedOn w:val="163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5" w:customStyle="1">
    <w:name w:val="List Table 5 Dark - Accent 6"/>
    <w:basedOn w:val="16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6" w:customStyle="1">
    <w:name w:val="清单表 6 彩色1"/>
    <w:basedOn w:val="16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7" w:customStyle="1">
    <w:name w:val="List Table 6 Colorful - Accent 1"/>
    <w:basedOn w:val="163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48" w:customStyle="1">
    <w:name w:val="List Table 6 Colorful - Accent 2"/>
    <w:basedOn w:val="163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49" w:customStyle="1">
    <w:name w:val="List Table 6 Colorful - Accent 3"/>
    <w:basedOn w:val="16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50" w:customStyle="1">
    <w:name w:val="List Table 6 Colorful - Accent 4"/>
    <w:basedOn w:val="163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51" w:customStyle="1">
    <w:name w:val="List Table 6 Colorful - Accent 5"/>
    <w:basedOn w:val="163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52" w:customStyle="1">
    <w:name w:val="List Table 6 Colorful - Accent 6"/>
    <w:basedOn w:val="16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53" w:customStyle="1">
    <w:name w:val="清单表 7 彩色1"/>
    <w:basedOn w:val="16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54" w:customStyle="1">
    <w:name w:val="List Table 7 Colorful - Accent 1"/>
    <w:basedOn w:val="163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55" w:customStyle="1">
    <w:name w:val="List Table 7 Colorful - Accent 2"/>
    <w:basedOn w:val="163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56" w:customStyle="1">
    <w:name w:val="List Table 7 Colorful - Accent 3"/>
    <w:basedOn w:val="163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57" w:customStyle="1">
    <w:name w:val="List Table 7 Colorful - Accent 4"/>
    <w:basedOn w:val="163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58" w:customStyle="1">
    <w:name w:val="List Table 7 Colorful - Accent 5"/>
    <w:basedOn w:val="163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59" w:customStyle="1">
    <w:name w:val="List Table 7 Colorful - Accent 6"/>
    <w:basedOn w:val="163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60" w:customStyle="1">
    <w:name w:val="Lined - Accent"/>
    <w:basedOn w:val="16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1" w:customStyle="1">
    <w:name w:val="Lined - Accent 1"/>
    <w:basedOn w:val="16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62" w:customStyle="1">
    <w:name w:val="Lined - Accent 2"/>
    <w:basedOn w:val="16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63" w:customStyle="1">
    <w:name w:val="Lined - Accent 3"/>
    <w:basedOn w:val="16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64" w:customStyle="1">
    <w:name w:val="Lined - Accent 4"/>
    <w:basedOn w:val="16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65" w:customStyle="1">
    <w:name w:val="Lined - Accent 5"/>
    <w:basedOn w:val="16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66" w:customStyle="1">
    <w:name w:val="Lined - Accent 6"/>
    <w:basedOn w:val="16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67" w:customStyle="1">
    <w:name w:val="Bordered &amp; Lined - Accent"/>
    <w:basedOn w:val="16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8" w:customStyle="1">
    <w:name w:val="Bordered &amp; Lined - Accent 1"/>
    <w:basedOn w:val="163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69" w:customStyle="1">
    <w:name w:val="Bordered &amp; Lined - Accent 2"/>
    <w:basedOn w:val="16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70" w:customStyle="1">
    <w:name w:val="Bordered &amp; Lined - Accent 3"/>
    <w:basedOn w:val="16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71" w:customStyle="1">
    <w:name w:val="Bordered &amp; Lined - Accent 4"/>
    <w:basedOn w:val="16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72" w:customStyle="1">
    <w:name w:val="Bordered &amp; Lined - Accent 5"/>
    <w:basedOn w:val="163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73" w:customStyle="1">
    <w:name w:val="Bordered &amp; Lined - Accent 6"/>
    <w:basedOn w:val="16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74" w:customStyle="1">
    <w:name w:val="Bordered"/>
    <w:basedOn w:val="16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75" w:customStyle="1">
    <w:name w:val="Bordered - Accent 1"/>
    <w:basedOn w:val="163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76" w:customStyle="1">
    <w:name w:val="Bordered - Accent 2"/>
    <w:basedOn w:val="16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77" w:customStyle="1">
    <w:name w:val="Bordered - Accent 3"/>
    <w:basedOn w:val="16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78" w:customStyle="1">
    <w:name w:val="Bordered - Accent 4"/>
    <w:basedOn w:val="16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79" w:customStyle="1">
    <w:name w:val="Bordered - Accent 5"/>
    <w:basedOn w:val="163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80" w:customStyle="1">
    <w:name w:val="Bordered - Accent 6"/>
    <w:basedOn w:val="16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81">
    <w:name w:val="Hyperlink"/>
    <w:uiPriority w:val="99"/>
    <w:unhideWhenUsed/>
    <w:qFormat/>
    <w:rPr>
      <w:color w:val="0563c1" w:themeColor="hyperlink"/>
      <w:u w:val="single"/>
      <w14:textFill>
        <w14:solidFill>
          <w14:schemeClr w14:val="hlink"/>
        </w14:solidFill>
      </w14:textFill>
    </w:rPr>
  </w:style>
  <w:style w:type="paragraph" w:styleId="1782">
    <w:name w:val="footnote text"/>
    <w:basedOn w:val="1625"/>
    <w:link w:val="1783"/>
    <w:uiPriority w:val="99"/>
    <w:unhideWhenUsed/>
    <w:qFormat/>
    <w:pPr>
      <w:spacing w:after="40"/>
    </w:pPr>
    <w:rPr>
      <w:sz w:val="18"/>
    </w:rPr>
  </w:style>
  <w:style w:type="character" w:styleId="1783" w:customStyle="1">
    <w:name w:val="脚注文本 字符"/>
    <w:link w:val="1782"/>
    <w:uiPriority w:val="99"/>
    <w:qFormat/>
    <w:rPr>
      <w:sz w:val="18"/>
    </w:rPr>
  </w:style>
  <w:style w:type="character" w:styleId="1784">
    <w:name w:val="footnote reference"/>
    <w:basedOn w:val="1635"/>
    <w:uiPriority w:val="99"/>
    <w:unhideWhenUsed/>
    <w:qFormat/>
    <w:rPr>
      <w:vertAlign w:val="superscript"/>
    </w:rPr>
  </w:style>
  <w:style w:type="paragraph" w:styleId="1785">
    <w:name w:val="endnote text"/>
    <w:basedOn w:val="1625"/>
    <w:link w:val="1786"/>
    <w:uiPriority w:val="99"/>
    <w:unhideWhenUsed/>
    <w:qFormat/>
    <w:rPr>
      <w:sz w:val="20"/>
    </w:rPr>
  </w:style>
  <w:style w:type="character" w:styleId="1786" w:customStyle="1">
    <w:name w:val="尾注文本 字符"/>
    <w:link w:val="1785"/>
    <w:uiPriority w:val="99"/>
    <w:qFormat/>
    <w:rPr>
      <w:sz w:val="20"/>
    </w:rPr>
  </w:style>
  <w:style w:type="character" w:styleId="1787">
    <w:name w:val="endnote reference"/>
    <w:basedOn w:val="1635"/>
    <w:uiPriority w:val="99"/>
    <w:unhideWhenUsed/>
    <w:qFormat/>
    <w:rPr>
      <w:vertAlign w:val="superscript"/>
    </w:rPr>
  </w:style>
  <w:style w:type="paragraph" w:styleId="1788">
    <w:name w:val="toc 1"/>
    <w:basedOn w:val="1625"/>
    <w:next w:val="1625"/>
    <w:uiPriority w:val="39"/>
    <w:unhideWhenUsed/>
    <w:qFormat/>
    <w:pPr>
      <w:spacing w:after="57"/>
    </w:pPr>
  </w:style>
  <w:style w:type="paragraph" w:styleId="1789">
    <w:name w:val="toc 2"/>
    <w:basedOn w:val="1625"/>
    <w:next w:val="1625"/>
    <w:uiPriority w:val="39"/>
    <w:unhideWhenUsed/>
    <w:qFormat/>
    <w:pPr>
      <w:ind w:left="283"/>
      <w:spacing w:after="57"/>
    </w:pPr>
  </w:style>
  <w:style w:type="paragraph" w:styleId="1790">
    <w:name w:val="toc 3"/>
    <w:basedOn w:val="1625"/>
    <w:next w:val="1625"/>
    <w:uiPriority w:val="39"/>
    <w:unhideWhenUsed/>
    <w:qFormat/>
    <w:pPr>
      <w:ind w:left="567"/>
      <w:spacing w:after="57"/>
    </w:pPr>
  </w:style>
  <w:style w:type="paragraph" w:styleId="1791">
    <w:name w:val="toc 4"/>
    <w:basedOn w:val="1625"/>
    <w:next w:val="1625"/>
    <w:uiPriority w:val="39"/>
    <w:unhideWhenUsed/>
    <w:qFormat/>
    <w:pPr>
      <w:ind w:left="850"/>
      <w:spacing w:after="57"/>
    </w:pPr>
  </w:style>
  <w:style w:type="paragraph" w:styleId="1792">
    <w:name w:val="toc 5"/>
    <w:basedOn w:val="1625"/>
    <w:next w:val="1625"/>
    <w:uiPriority w:val="39"/>
    <w:unhideWhenUsed/>
    <w:qFormat/>
    <w:pPr>
      <w:ind w:left="1134"/>
      <w:spacing w:after="57"/>
    </w:pPr>
  </w:style>
  <w:style w:type="paragraph" w:styleId="1793">
    <w:name w:val="toc 6"/>
    <w:basedOn w:val="1625"/>
    <w:next w:val="1625"/>
    <w:uiPriority w:val="39"/>
    <w:unhideWhenUsed/>
    <w:qFormat/>
    <w:pPr>
      <w:ind w:left="1417"/>
      <w:spacing w:after="57"/>
    </w:pPr>
  </w:style>
  <w:style w:type="paragraph" w:styleId="1794">
    <w:name w:val="toc 7"/>
    <w:basedOn w:val="1625"/>
    <w:next w:val="1625"/>
    <w:uiPriority w:val="39"/>
    <w:unhideWhenUsed/>
    <w:qFormat/>
    <w:pPr>
      <w:ind w:left="1701"/>
      <w:spacing w:after="57"/>
    </w:pPr>
  </w:style>
  <w:style w:type="paragraph" w:styleId="1795">
    <w:name w:val="toc 8"/>
    <w:basedOn w:val="1625"/>
    <w:next w:val="1625"/>
    <w:uiPriority w:val="39"/>
    <w:unhideWhenUsed/>
    <w:qFormat/>
    <w:pPr>
      <w:ind w:left="1984"/>
      <w:spacing w:after="57"/>
    </w:pPr>
  </w:style>
  <w:style w:type="paragraph" w:styleId="1796">
    <w:name w:val="toc 9"/>
    <w:basedOn w:val="1625"/>
    <w:next w:val="1625"/>
    <w:uiPriority w:val="39"/>
    <w:unhideWhenUsed/>
    <w:qFormat/>
    <w:pPr>
      <w:ind w:left="2268"/>
      <w:spacing w:after="57"/>
    </w:pPr>
  </w:style>
  <w:style w:type="paragraph" w:styleId="1797">
    <w:name w:val="table of figures"/>
    <w:basedOn w:val="1625"/>
    <w:next w:val="1625"/>
    <w:uiPriority w:val="99"/>
    <w:unhideWhenUsed/>
    <w:qFormat/>
  </w:style>
  <w:style w:type="character" w:styleId="1798" w:customStyle="1">
    <w:name w:val="占位符文本1"/>
    <w:basedOn w:val="1635"/>
    <w:uiPriority w:val="99"/>
    <w:unhideWhenUsed/>
    <w:qFormat/>
    <w:rPr>
      <w:color w:val="808080"/>
    </w:rPr>
  </w:style>
  <w:style w:type="paragraph" w:styleId="1799"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00"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01"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02"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03"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80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32</cp:revision>
  <dcterms:created xsi:type="dcterms:W3CDTF">2025-11-23T02:09:00Z</dcterms:created>
  <dcterms:modified xsi:type="dcterms:W3CDTF">2025-12-02T06:37:50Z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75BDCC05A9854E3BBE9AD5FCAA1B80C2_13</vt:lpwstr>
  </property>
  <property fmtid="{D5CDD505-2E9C-101B-9397-08002B2CF9AE}" pid="4" name="KSOTemplateDocerSaveRecord">
    <vt:lpwstr>eyJoZGlkIjoiOTc3M2Y5NzIzMDFlZjAyY2Q4Njk5ODkyYjFjNzBiNTQiLCJ1c2VySWQiOiIxNTYwNDAxOTY1In0=</vt:lpwstr>
  </property>
</Properties>
</file>